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308E" w14:textId="77777777" w:rsidR="00591F99" w:rsidRDefault="00591F99"/>
    <w:p w14:paraId="2E27ACFA" w14:textId="062DFA1F" w:rsidR="00591F99" w:rsidRDefault="00110736">
      <w:r>
        <w:t xml:space="preserve">                                                                                                     </w:t>
      </w:r>
      <w:r>
        <w:rPr>
          <w:noProof/>
        </w:rPr>
        <w:drawing>
          <wp:inline distT="0" distB="0" distL="0" distR="0" wp14:anchorId="52E3F9FF" wp14:editId="00A2230F">
            <wp:extent cx="2619375" cy="619125"/>
            <wp:effectExtent l="0" t="0" r="9525" b="9525"/>
            <wp:docPr id="2122110455" name="Picture 1" descr="A black and white photo of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10455" name="Picture 1" descr="A black and white photo of a black backgrou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9375" cy="619125"/>
                    </a:xfrm>
                    <a:prstGeom prst="rect">
                      <a:avLst/>
                    </a:prstGeom>
                    <a:noFill/>
                  </pic:spPr>
                </pic:pic>
              </a:graphicData>
            </a:graphic>
          </wp:inline>
        </w:drawing>
      </w:r>
    </w:p>
    <w:p w14:paraId="4A78BA3A" w14:textId="17A9C66A" w:rsidR="00591F99" w:rsidRDefault="00110736">
      <w:r>
        <w:t xml:space="preserve">                                                                                                              </w:t>
      </w:r>
    </w:p>
    <w:p w14:paraId="074CC948" w14:textId="77777777" w:rsidR="00591F99" w:rsidRDefault="00591F99"/>
    <w:p w14:paraId="531B04D0" w14:textId="77777777" w:rsidR="00591F99" w:rsidRDefault="00591F99"/>
    <w:p w14:paraId="34778E42" w14:textId="77777777" w:rsidR="00591F99" w:rsidRDefault="00591F99"/>
    <w:p w14:paraId="28F32460" w14:textId="3E4BE58E" w:rsidR="00110736" w:rsidRDefault="00591F99">
      <w:pPr>
        <w:rPr>
          <w:rFonts w:ascii="Arial" w:hAnsi="Arial" w:cs="Arial"/>
          <w:color w:val="215E99" w:themeColor="text2" w:themeTint="BF"/>
          <w:sz w:val="52"/>
          <w:szCs w:val="52"/>
        </w:rPr>
      </w:pPr>
      <w:r>
        <w:t xml:space="preserve">               </w:t>
      </w:r>
      <w:r w:rsidRPr="00591F99">
        <w:rPr>
          <w:rFonts w:ascii="Arial" w:hAnsi="Arial" w:cs="Arial"/>
          <w:color w:val="215E99" w:themeColor="text2" w:themeTint="BF"/>
          <w:sz w:val="52"/>
          <w:szCs w:val="52"/>
        </w:rPr>
        <w:t xml:space="preserve">2025 </w:t>
      </w:r>
      <w:r w:rsidR="00110736">
        <w:rPr>
          <w:rFonts w:ascii="Arial" w:hAnsi="Arial" w:cs="Arial"/>
          <w:color w:val="215E99" w:themeColor="text2" w:themeTint="BF"/>
          <w:sz w:val="52"/>
          <w:szCs w:val="52"/>
        </w:rPr>
        <w:t xml:space="preserve">Combined Gender Pay  </w:t>
      </w:r>
    </w:p>
    <w:p w14:paraId="11207BCD" w14:textId="0FF4A346" w:rsidR="00591F99" w:rsidRPr="00591F99" w:rsidRDefault="00110736">
      <w:pPr>
        <w:rPr>
          <w:rFonts w:ascii="Arial" w:hAnsi="Arial" w:cs="Arial"/>
          <w:color w:val="215E99" w:themeColor="text2" w:themeTint="BF"/>
          <w:sz w:val="52"/>
          <w:szCs w:val="52"/>
        </w:rPr>
      </w:pPr>
      <w:r>
        <w:rPr>
          <w:rFonts w:ascii="Arial" w:hAnsi="Arial" w:cs="Arial"/>
          <w:color w:val="215E99" w:themeColor="text2" w:themeTint="BF"/>
          <w:sz w:val="52"/>
          <w:szCs w:val="52"/>
        </w:rPr>
        <w:t xml:space="preserve">     Gap Report </w:t>
      </w:r>
      <w:r w:rsidR="00591F99" w:rsidRPr="00591F99">
        <w:rPr>
          <w:rFonts w:ascii="Arial" w:hAnsi="Arial" w:cs="Arial"/>
          <w:color w:val="215E99" w:themeColor="text2" w:themeTint="BF"/>
          <w:sz w:val="52"/>
          <w:szCs w:val="52"/>
        </w:rPr>
        <w:t xml:space="preserve">      </w:t>
      </w:r>
    </w:p>
    <w:p w14:paraId="39A19111" w14:textId="27F977FE" w:rsidR="00591F99" w:rsidRPr="00110736" w:rsidRDefault="00591F99">
      <w:pPr>
        <w:rPr>
          <w:rFonts w:ascii="Arial" w:hAnsi="Arial" w:cs="Arial"/>
          <w:color w:val="215E99" w:themeColor="text2" w:themeTint="BF"/>
        </w:rPr>
      </w:pPr>
      <w:r w:rsidRPr="00110736">
        <w:rPr>
          <w:rFonts w:ascii="Arial" w:hAnsi="Arial" w:cs="Arial"/>
          <w:color w:val="215E99" w:themeColor="text2" w:themeTint="BF"/>
        </w:rPr>
        <w:t xml:space="preserve">     </w:t>
      </w:r>
      <w:r w:rsidR="00110736">
        <w:rPr>
          <w:rFonts w:ascii="Arial" w:hAnsi="Arial" w:cs="Arial"/>
          <w:color w:val="215E99" w:themeColor="text2" w:themeTint="BF"/>
        </w:rPr>
        <w:t xml:space="preserve">      </w:t>
      </w:r>
      <w:r w:rsidR="00110736" w:rsidRPr="00110736">
        <w:rPr>
          <w:rFonts w:ascii="Arial" w:hAnsi="Arial" w:cs="Arial"/>
          <w:color w:val="215E99" w:themeColor="text2" w:themeTint="BF"/>
        </w:rPr>
        <w:t>(</w:t>
      </w:r>
      <w:r w:rsidRPr="00110736">
        <w:rPr>
          <w:rFonts w:ascii="Arial" w:hAnsi="Arial" w:cs="Arial"/>
          <w:color w:val="215E99" w:themeColor="text2" w:themeTint="BF"/>
        </w:rPr>
        <w:t>Gender, Ethnicity and Disability</w:t>
      </w:r>
      <w:r w:rsidR="00110736" w:rsidRPr="00110736">
        <w:rPr>
          <w:rFonts w:ascii="Arial" w:hAnsi="Arial" w:cs="Arial"/>
          <w:color w:val="215E99" w:themeColor="text2" w:themeTint="BF"/>
        </w:rPr>
        <w:t>)</w:t>
      </w:r>
    </w:p>
    <w:p w14:paraId="6A916316" w14:textId="77777777" w:rsidR="00591F99" w:rsidRDefault="00591F99">
      <w:pPr>
        <w:rPr>
          <w:rFonts w:ascii="Arial" w:hAnsi="Arial" w:cs="Arial"/>
          <w:sz w:val="52"/>
          <w:szCs w:val="52"/>
        </w:rPr>
      </w:pPr>
    </w:p>
    <w:p w14:paraId="370A8EEE" w14:textId="77777777" w:rsidR="00591F99" w:rsidRDefault="00591F99">
      <w:pPr>
        <w:rPr>
          <w:rFonts w:ascii="Arial" w:hAnsi="Arial" w:cs="Arial"/>
          <w:sz w:val="52"/>
          <w:szCs w:val="52"/>
        </w:rPr>
      </w:pPr>
    </w:p>
    <w:p w14:paraId="1F597CB9" w14:textId="77777777" w:rsidR="00591F99" w:rsidRDefault="00591F99">
      <w:pPr>
        <w:rPr>
          <w:rFonts w:ascii="Arial" w:hAnsi="Arial" w:cs="Arial"/>
          <w:sz w:val="52"/>
          <w:szCs w:val="52"/>
        </w:rPr>
      </w:pPr>
    </w:p>
    <w:p w14:paraId="2B30DD4C" w14:textId="77777777" w:rsidR="00591F99" w:rsidRDefault="00591F99">
      <w:pPr>
        <w:rPr>
          <w:rFonts w:ascii="Arial" w:hAnsi="Arial" w:cs="Arial"/>
          <w:sz w:val="52"/>
          <w:szCs w:val="52"/>
        </w:rPr>
      </w:pPr>
    </w:p>
    <w:p w14:paraId="6BC5B858" w14:textId="77777777" w:rsidR="00591F99" w:rsidRDefault="00591F99">
      <w:pPr>
        <w:rPr>
          <w:rFonts w:ascii="Arial" w:hAnsi="Arial" w:cs="Arial"/>
          <w:sz w:val="52"/>
          <w:szCs w:val="52"/>
        </w:rPr>
      </w:pPr>
    </w:p>
    <w:p w14:paraId="326838CA" w14:textId="77777777" w:rsidR="00591F99" w:rsidRDefault="00591F99">
      <w:pPr>
        <w:rPr>
          <w:rFonts w:ascii="Arial" w:hAnsi="Arial" w:cs="Arial"/>
          <w:sz w:val="52"/>
          <w:szCs w:val="52"/>
        </w:rPr>
      </w:pPr>
    </w:p>
    <w:p w14:paraId="2B49911E" w14:textId="77777777" w:rsidR="00591F99" w:rsidRDefault="00591F99">
      <w:pPr>
        <w:rPr>
          <w:rFonts w:ascii="Arial" w:hAnsi="Arial" w:cs="Arial"/>
          <w:sz w:val="52"/>
          <w:szCs w:val="52"/>
        </w:rPr>
      </w:pPr>
    </w:p>
    <w:p w14:paraId="7BAFBF5C" w14:textId="77777777" w:rsidR="00591F99" w:rsidRDefault="00591F99">
      <w:pPr>
        <w:rPr>
          <w:rFonts w:ascii="Arial" w:hAnsi="Arial" w:cs="Arial"/>
          <w:sz w:val="52"/>
          <w:szCs w:val="52"/>
        </w:rPr>
      </w:pPr>
    </w:p>
    <w:p w14:paraId="4B232E64" w14:textId="77777777" w:rsidR="00591F99" w:rsidRDefault="00591F99">
      <w:pPr>
        <w:rPr>
          <w:rFonts w:ascii="Arial" w:hAnsi="Arial" w:cs="Arial"/>
          <w:sz w:val="52"/>
          <w:szCs w:val="52"/>
        </w:rPr>
      </w:pPr>
    </w:p>
    <w:p w14:paraId="62382062" w14:textId="77777777" w:rsidR="00591F99" w:rsidRDefault="00591F99">
      <w:pPr>
        <w:rPr>
          <w:rFonts w:ascii="Arial" w:hAnsi="Arial" w:cs="Arial"/>
          <w:sz w:val="52"/>
          <w:szCs w:val="52"/>
        </w:rPr>
      </w:pPr>
    </w:p>
    <w:p w14:paraId="302DDE88" w14:textId="1904A026" w:rsidR="00046FD1" w:rsidRDefault="00046FD1" w:rsidP="00046FD1">
      <w:pPr>
        <w:spacing w:before="240" w:after="0"/>
        <w:ind w:left="0"/>
        <w:rPr>
          <w:rFonts w:ascii="Arial" w:hAnsi="Arial" w:cs="Arial"/>
          <w:sz w:val="52"/>
          <w:szCs w:val="52"/>
        </w:rPr>
      </w:pPr>
    </w:p>
    <w:p w14:paraId="6C5A4DF1" w14:textId="38AA3586" w:rsidR="00675F8F" w:rsidRPr="00EC650D" w:rsidRDefault="00394EC9" w:rsidP="00394EC9">
      <w:pPr>
        <w:pStyle w:val="Heading1"/>
        <w:ind w:left="-340"/>
      </w:pPr>
      <w:r>
        <w:lastRenderedPageBreak/>
        <w:t xml:space="preserve">1.0 </w:t>
      </w:r>
      <w:r w:rsidR="00591F99" w:rsidRPr="00EC650D">
        <w:t>Executive Summary</w:t>
      </w:r>
    </w:p>
    <w:p w14:paraId="7C6357DD" w14:textId="6EF519A2" w:rsidR="00AE3CAB" w:rsidRDefault="00EC650D" w:rsidP="00D85804">
      <w:pPr>
        <w:pStyle w:val="ListParagraph"/>
        <w:spacing w:after="0"/>
        <w:ind w:left="340"/>
        <w:jc w:val="both"/>
      </w:pPr>
      <w:r w:rsidRPr="00EC650D">
        <w:rPr>
          <w:rFonts w:ascii="Calibri" w:hAnsi="Calibri" w:cs="Calibri"/>
        </w:rPr>
        <w:t>In line with the Equality Act 2010 (Gender Pay Gap Information) Regulations 2017, UK organisations with 250+ employees must report their Gender Pay Gap (GPG) annually. This report includes the required gender pay data and, in anticipation of future mandates, also provides a comparative analysis of gender, ethnicity, and disability pay data from March 2023 to 2025, including bank staff</w:t>
      </w:r>
      <w:r>
        <w:t>.</w:t>
      </w:r>
    </w:p>
    <w:p w14:paraId="1024C6C1" w14:textId="77777777" w:rsidR="00EC650D" w:rsidRPr="00046FD1" w:rsidRDefault="00EC650D" w:rsidP="00D85804">
      <w:pPr>
        <w:pStyle w:val="ListParagraph"/>
        <w:spacing w:after="0"/>
        <w:ind w:left="340"/>
        <w:jc w:val="both"/>
        <w:rPr>
          <w:rFonts w:ascii="Calibri" w:hAnsi="Calibri" w:cs="Calibri"/>
        </w:rPr>
      </w:pPr>
    </w:p>
    <w:p w14:paraId="7124DA37" w14:textId="77777777" w:rsidR="00EF18B1" w:rsidRPr="00EE790F" w:rsidRDefault="00397ED8" w:rsidP="00D85804">
      <w:pPr>
        <w:pStyle w:val="ListParagraph"/>
        <w:numPr>
          <w:ilvl w:val="1"/>
          <w:numId w:val="8"/>
        </w:numPr>
        <w:spacing w:after="0"/>
        <w:ind w:left="352" w:hanging="522"/>
        <w:jc w:val="both"/>
        <w:rPr>
          <w:rFonts w:ascii="Calibri" w:hAnsi="Calibri" w:cs="Calibri"/>
        </w:rPr>
      </w:pPr>
      <w:r w:rsidRPr="00046FD1">
        <w:rPr>
          <w:rFonts w:ascii="Calibri" w:hAnsi="Calibri" w:cs="Calibri"/>
        </w:rPr>
        <w:t xml:space="preserve">As of March 2025, Sandwell and West Birmingham NHS Trust employed </w:t>
      </w:r>
      <w:r w:rsidRPr="00EE790F">
        <w:rPr>
          <w:rFonts w:ascii="Calibri" w:hAnsi="Calibri" w:cs="Calibri"/>
        </w:rPr>
        <w:t xml:space="preserve">approximately </w:t>
      </w:r>
      <w:r w:rsidR="0097070F" w:rsidRPr="00EE790F">
        <w:rPr>
          <w:rFonts w:ascii="Calibri" w:hAnsi="Calibri" w:cs="Calibri"/>
        </w:rPr>
        <w:t xml:space="preserve"> 8488 </w:t>
      </w:r>
      <w:r w:rsidRPr="00EE790F">
        <w:rPr>
          <w:rFonts w:ascii="Calibri" w:hAnsi="Calibri" w:cs="Calibri"/>
        </w:rPr>
        <w:t>staff, of whom 77.89</w:t>
      </w:r>
      <w:r w:rsidR="00144D61" w:rsidRPr="00EE790F">
        <w:rPr>
          <w:rFonts w:ascii="Calibri" w:hAnsi="Calibri" w:cs="Calibri"/>
        </w:rPr>
        <w:t>%</w:t>
      </w:r>
      <w:r w:rsidRPr="00EE790F">
        <w:rPr>
          <w:rFonts w:ascii="Calibri" w:hAnsi="Calibri" w:cs="Calibri"/>
        </w:rPr>
        <w:t xml:space="preserve"> were female and 22.11% were </w:t>
      </w:r>
      <w:r w:rsidR="00144D61" w:rsidRPr="00EE790F">
        <w:rPr>
          <w:rFonts w:ascii="Calibri" w:hAnsi="Calibri" w:cs="Calibri"/>
        </w:rPr>
        <w:t>male</w:t>
      </w:r>
      <w:r w:rsidR="0097070F" w:rsidRPr="00EE790F">
        <w:rPr>
          <w:rFonts w:ascii="Calibri" w:hAnsi="Calibri" w:cs="Calibri"/>
        </w:rPr>
        <w:t>.</w:t>
      </w:r>
    </w:p>
    <w:p w14:paraId="10EB066C" w14:textId="77777777" w:rsidR="00AE6145" w:rsidRPr="00EE790F" w:rsidRDefault="00AE6145" w:rsidP="00D85804">
      <w:pPr>
        <w:pStyle w:val="ListParagraph"/>
        <w:spacing w:after="0"/>
        <w:ind w:left="352"/>
        <w:jc w:val="both"/>
        <w:rPr>
          <w:rFonts w:ascii="Calibri" w:hAnsi="Calibri" w:cs="Calibri"/>
        </w:rPr>
      </w:pPr>
    </w:p>
    <w:p w14:paraId="055EC0E9" w14:textId="77777777" w:rsidR="00AE6145" w:rsidRPr="00EE790F" w:rsidRDefault="00AE6145" w:rsidP="00D85804">
      <w:pPr>
        <w:pStyle w:val="ListParagraph"/>
        <w:numPr>
          <w:ilvl w:val="1"/>
          <w:numId w:val="8"/>
        </w:numPr>
        <w:spacing w:after="0"/>
        <w:ind w:left="352" w:hanging="522"/>
        <w:jc w:val="both"/>
        <w:rPr>
          <w:rFonts w:ascii="Calibri" w:hAnsi="Calibri" w:cs="Calibri"/>
        </w:rPr>
      </w:pPr>
      <w:r w:rsidRPr="00EE790F">
        <w:rPr>
          <w:rFonts w:ascii="Calibri" w:eastAsia="Times New Roman" w:hAnsi="Calibri" w:cs="Calibri"/>
          <w:kern w:val="0"/>
          <w:lang w:eastAsia="en-GB"/>
          <w14:ligatures w14:val="none"/>
        </w:rPr>
        <w:t>Gender Representation</w:t>
      </w:r>
    </w:p>
    <w:p w14:paraId="7D78A713" w14:textId="77777777" w:rsidR="00283970" w:rsidRPr="00EE790F" w:rsidRDefault="00AE6145" w:rsidP="00D85804">
      <w:pPr>
        <w:pStyle w:val="ListParagraph"/>
        <w:numPr>
          <w:ilvl w:val="0"/>
          <w:numId w:val="15"/>
        </w:numPr>
        <w:spacing w:after="0"/>
        <w:jc w:val="both"/>
        <w:rPr>
          <w:rFonts w:ascii="Calibri" w:hAnsi="Calibri" w:cs="Calibri"/>
        </w:rPr>
      </w:pPr>
      <w:r w:rsidRPr="00EE790F">
        <w:rPr>
          <w:rFonts w:ascii="Calibri" w:eastAsia="Times New Roman" w:hAnsi="Calibri" w:cs="Calibri"/>
          <w:kern w:val="0"/>
          <w:lang w:eastAsia="en-GB"/>
          <w14:ligatures w14:val="none"/>
        </w:rPr>
        <w:t>The proportion of female employees has slightly decreased from 79.04% (2023/24) to 77.89% (2024/25).</w:t>
      </w:r>
    </w:p>
    <w:p w14:paraId="39D27B0C" w14:textId="00B2599F" w:rsidR="00AE6145" w:rsidRPr="00EE790F" w:rsidRDefault="00AE6145" w:rsidP="00D85804">
      <w:pPr>
        <w:pStyle w:val="ListParagraph"/>
        <w:numPr>
          <w:ilvl w:val="0"/>
          <w:numId w:val="15"/>
        </w:numPr>
        <w:spacing w:after="0"/>
        <w:jc w:val="both"/>
        <w:rPr>
          <w:rFonts w:ascii="Calibri" w:hAnsi="Calibri" w:cs="Calibri"/>
        </w:rPr>
      </w:pPr>
      <w:r w:rsidRPr="00EE790F">
        <w:rPr>
          <w:rFonts w:ascii="Calibri" w:eastAsia="Times New Roman" w:hAnsi="Calibri" w:cs="Calibri"/>
          <w:kern w:val="0"/>
          <w:lang w:eastAsia="en-GB"/>
          <w14:ligatures w14:val="none"/>
        </w:rPr>
        <w:t>Male representation increased from 20.96% to 22.11%, largely due to increased recruitment through the MMUH "More Than Just a Job" employability programme</w:t>
      </w:r>
      <w:r w:rsidR="002D02E1">
        <w:rPr>
          <w:rFonts w:ascii="Calibri" w:eastAsia="Times New Roman" w:hAnsi="Calibri" w:cs="Calibri"/>
          <w:kern w:val="0"/>
          <w:lang w:eastAsia="en-GB"/>
          <w14:ligatures w14:val="none"/>
        </w:rPr>
        <w:t xml:space="preserve"> and recruitment to entry level roles.</w:t>
      </w:r>
    </w:p>
    <w:p w14:paraId="450B2DB0" w14:textId="77777777" w:rsidR="00283970" w:rsidRPr="00EE790F" w:rsidRDefault="00283970" w:rsidP="00D85804">
      <w:pPr>
        <w:pStyle w:val="ListParagraph"/>
        <w:spacing w:after="0"/>
        <w:ind w:left="1072"/>
        <w:jc w:val="both"/>
        <w:rPr>
          <w:rFonts w:ascii="Calibri" w:hAnsi="Calibri" w:cs="Calibri"/>
        </w:rPr>
      </w:pPr>
    </w:p>
    <w:p w14:paraId="7CF9AE85" w14:textId="77777777" w:rsidR="00283970" w:rsidRPr="00EE790F" w:rsidRDefault="00283970" w:rsidP="00D85804">
      <w:pPr>
        <w:pStyle w:val="ListParagraph"/>
        <w:numPr>
          <w:ilvl w:val="1"/>
          <w:numId w:val="8"/>
        </w:numPr>
        <w:spacing w:after="0"/>
        <w:ind w:left="352" w:hanging="522"/>
        <w:jc w:val="both"/>
        <w:rPr>
          <w:rFonts w:ascii="Calibri" w:hAnsi="Calibri" w:cs="Calibri"/>
        </w:rPr>
      </w:pPr>
      <w:r w:rsidRPr="00EE790F">
        <w:rPr>
          <w:rFonts w:ascii="Calibri" w:eastAsia="Times New Roman" w:hAnsi="Calibri" w:cs="Calibri"/>
          <w:kern w:val="0"/>
          <w:lang w:eastAsia="en-GB"/>
          <w14:ligatures w14:val="none"/>
        </w:rPr>
        <w:t>Mean Gender Pay Gap</w:t>
      </w:r>
    </w:p>
    <w:p w14:paraId="0CEA0FC6" w14:textId="77777777" w:rsidR="00283970" w:rsidRPr="00EE790F" w:rsidRDefault="00283970" w:rsidP="00D85804">
      <w:pPr>
        <w:pStyle w:val="ListParagraph"/>
        <w:numPr>
          <w:ilvl w:val="0"/>
          <w:numId w:val="16"/>
        </w:numPr>
        <w:spacing w:after="0"/>
        <w:jc w:val="both"/>
        <w:rPr>
          <w:rFonts w:ascii="Calibri" w:hAnsi="Calibri" w:cs="Calibri"/>
        </w:rPr>
      </w:pPr>
      <w:r w:rsidRPr="00EE790F">
        <w:rPr>
          <w:rFonts w:ascii="Calibri" w:eastAsia="Times New Roman" w:hAnsi="Calibri" w:cs="Calibri"/>
          <w:kern w:val="0"/>
          <w:lang w:eastAsia="en-GB"/>
          <w14:ligatures w14:val="none"/>
        </w:rPr>
        <w:t>The mean gender pay</w:t>
      </w:r>
      <w:r w:rsidRPr="00EE790F">
        <w:rPr>
          <w:rFonts w:ascii="Calibri" w:eastAsia="Times New Roman" w:hAnsi="Calibri" w:cs="Calibri"/>
          <w:b/>
          <w:bCs/>
          <w:kern w:val="0"/>
          <w:lang w:eastAsia="en-GB"/>
          <w14:ligatures w14:val="none"/>
        </w:rPr>
        <w:t xml:space="preserve"> </w:t>
      </w:r>
      <w:r w:rsidRPr="00EE790F">
        <w:rPr>
          <w:rFonts w:ascii="Calibri" w:eastAsia="Times New Roman" w:hAnsi="Calibri" w:cs="Calibri"/>
          <w:kern w:val="0"/>
          <w:lang w:eastAsia="en-GB"/>
          <w14:ligatures w14:val="none"/>
        </w:rPr>
        <w:t>gap stands at 25.74%, a nominal increase of 0.03</w:t>
      </w:r>
      <w:r w:rsidRPr="00EE790F">
        <w:rPr>
          <w:rFonts w:ascii="Calibri" w:eastAsia="Times New Roman" w:hAnsi="Calibri" w:cs="Calibri"/>
          <w:b/>
          <w:bCs/>
          <w:kern w:val="0"/>
          <w:lang w:eastAsia="en-GB"/>
          <w14:ligatures w14:val="none"/>
        </w:rPr>
        <w:t xml:space="preserve"> </w:t>
      </w:r>
      <w:r w:rsidRPr="00EE790F">
        <w:rPr>
          <w:rFonts w:ascii="Calibri" w:eastAsia="Times New Roman" w:hAnsi="Calibri" w:cs="Calibri"/>
          <w:kern w:val="0"/>
          <w:lang w:eastAsia="en-GB"/>
          <w14:ligatures w14:val="none"/>
        </w:rPr>
        <w:t>percentage points from the previous year (25.71%).</w:t>
      </w:r>
    </w:p>
    <w:p w14:paraId="3A6446FF" w14:textId="6C838C61" w:rsidR="00283970" w:rsidRPr="00EE790F" w:rsidRDefault="00283970" w:rsidP="00D85804">
      <w:pPr>
        <w:pStyle w:val="ListParagraph"/>
        <w:numPr>
          <w:ilvl w:val="0"/>
          <w:numId w:val="16"/>
        </w:numPr>
        <w:spacing w:after="0"/>
        <w:jc w:val="both"/>
        <w:rPr>
          <w:rFonts w:ascii="Calibri" w:hAnsi="Calibri" w:cs="Calibri"/>
        </w:rPr>
      </w:pPr>
      <w:r w:rsidRPr="00EE790F">
        <w:rPr>
          <w:rFonts w:ascii="Calibri" w:eastAsia="Times New Roman" w:hAnsi="Calibri" w:cs="Calibri"/>
          <w:kern w:val="0"/>
          <w:lang w:eastAsia="en-GB"/>
          <w14:ligatures w14:val="none"/>
        </w:rPr>
        <w:t>This indicates minimal change</w:t>
      </w:r>
      <w:r w:rsidR="00EC650D" w:rsidRPr="00EE790F">
        <w:rPr>
          <w:rFonts w:ascii="Calibri" w:eastAsia="Times New Roman" w:hAnsi="Calibri" w:cs="Calibri"/>
          <w:kern w:val="0"/>
          <w:lang w:eastAsia="en-GB"/>
          <w14:ligatures w14:val="none"/>
        </w:rPr>
        <w:t xml:space="preserve"> since the previous reporting year</w:t>
      </w:r>
      <w:r w:rsidRPr="00EE790F">
        <w:rPr>
          <w:rFonts w:ascii="Calibri" w:eastAsia="Times New Roman" w:hAnsi="Calibri" w:cs="Calibri"/>
          <w:kern w:val="0"/>
          <w:lang w:eastAsia="en-GB"/>
          <w14:ligatures w14:val="none"/>
        </w:rPr>
        <w:t xml:space="preserve"> in the average pay difference between male and female employees.</w:t>
      </w:r>
    </w:p>
    <w:p w14:paraId="74204C08" w14:textId="77777777" w:rsidR="00283970" w:rsidRPr="00046FD1" w:rsidRDefault="00283970" w:rsidP="00D85804">
      <w:pPr>
        <w:pStyle w:val="ListParagraph"/>
        <w:spacing w:after="0"/>
        <w:ind w:left="1072"/>
        <w:jc w:val="both"/>
        <w:rPr>
          <w:rFonts w:ascii="Calibri" w:hAnsi="Calibri" w:cs="Calibri"/>
        </w:rPr>
      </w:pPr>
    </w:p>
    <w:p w14:paraId="68A2E9A5" w14:textId="209C31DB" w:rsidR="00046FD1" w:rsidRPr="00046FD1" w:rsidRDefault="0089232D" w:rsidP="00D85804">
      <w:pPr>
        <w:pStyle w:val="ListParagraph"/>
        <w:numPr>
          <w:ilvl w:val="1"/>
          <w:numId w:val="8"/>
        </w:numPr>
        <w:spacing w:after="0"/>
        <w:ind w:left="352" w:hanging="522"/>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283970" w:rsidRPr="00AE6145">
        <w:rPr>
          <w:rFonts w:ascii="Calibri" w:eastAsia="Times New Roman" w:hAnsi="Calibri" w:cs="Calibri"/>
          <w:kern w:val="0"/>
          <w:lang w:eastAsia="en-GB"/>
          <w14:ligatures w14:val="none"/>
        </w:rPr>
        <w:t>Median Gender Pay Gap</w:t>
      </w:r>
    </w:p>
    <w:p w14:paraId="4160D5B3" w14:textId="105D5C19" w:rsidR="00283970" w:rsidRPr="00046FD1" w:rsidRDefault="00283970" w:rsidP="00D85804">
      <w:pPr>
        <w:pStyle w:val="ListParagraph"/>
        <w:numPr>
          <w:ilvl w:val="0"/>
          <w:numId w:val="17"/>
        </w:numPr>
        <w:spacing w:after="0"/>
        <w:jc w:val="both"/>
        <w:rPr>
          <w:rFonts w:ascii="Calibri" w:eastAsia="Times New Roman" w:hAnsi="Calibri" w:cs="Calibri"/>
          <w:kern w:val="0"/>
          <w:lang w:eastAsia="en-GB"/>
          <w14:ligatures w14:val="none"/>
        </w:rPr>
      </w:pPr>
      <w:r w:rsidRPr="00046FD1">
        <w:rPr>
          <w:rFonts w:ascii="Calibri" w:eastAsia="Times New Roman" w:hAnsi="Calibri" w:cs="Calibri"/>
          <w:kern w:val="0"/>
          <w:lang w:eastAsia="en-GB"/>
          <w14:ligatures w14:val="none"/>
        </w:rPr>
        <w:t>The median gender pay gap improved from 11.24% to 9.54%, reflecting a 1.7 percentage point reduction, suggesting a</w:t>
      </w:r>
      <w:r w:rsidR="001E7B48" w:rsidRPr="00046FD1">
        <w:rPr>
          <w:rFonts w:ascii="Calibri" w:eastAsia="Times New Roman" w:hAnsi="Calibri" w:cs="Calibri"/>
          <w:kern w:val="0"/>
          <w:lang w:eastAsia="en-GB"/>
          <w14:ligatures w14:val="none"/>
        </w:rPr>
        <w:t>n overall improvement and</w:t>
      </w:r>
      <w:r w:rsidRPr="00046FD1">
        <w:rPr>
          <w:rFonts w:ascii="Calibri" w:eastAsia="Times New Roman" w:hAnsi="Calibri" w:cs="Calibri"/>
          <w:kern w:val="0"/>
          <w:lang w:eastAsia="en-GB"/>
          <w14:ligatures w14:val="none"/>
        </w:rPr>
        <w:t xml:space="preserve"> narrowing </w:t>
      </w:r>
      <w:r w:rsidR="001E7B48" w:rsidRPr="00046FD1">
        <w:rPr>
          <w:rFonts w:ascii="Calibri" w:eastAsia="Times New Roman" w:hAnsi="Calibri" w:cs="Calibri"/>
          <w:kern w:val="0"/>
          <w:lang w:eastAsia="en-GB"/>
          <w14:ligatures w14:val="none"/>
        </w:rPr>
        <w:t>of</w:t>
      </w:r>
      <w:r w:rsidRPr="00046FD1">
        <w:rPr>
          <w:rFonts w:ascii="Calibri" w:eastAsia="Times New Roman" w:hAnsi="Calibri" w:cs="Calibri"/>
          <w:kern w:val="0"/>
          <w:lang w:eastAsia="en-GB"/>
          <w14:ligatures w14:val="none"/>
        </w:rPr>
        <w:t xml:space="preserve"> the pay gap at the mid-point of earnings.</w:t>
      </w:r>
    </w:p>
    <w:p w14:paraId="14D8EBC3" w14:textId="77777777" w:rsidR="00046FD1" w:rsidRPr="00046FD1" w:rsidRDefault="00046FD1" w:rsidP="00D85804">
      <w:pPr>
        <w:pStyle w:val="ListParagraph"/>
        <w:spacing w:after="0"/>
        <w:ind w:left="1072"/>
        <w:jc w:val="both"/>
        <w:rPr>
          <w:rFonts w:ascii="Calibri" w:eastAsia="Times New Roman" w:hAnsi="Calibri" w:cs="Calibri"/>
          <w:kern w:val="0"/>
          <w:lang w:eastAsia="en-GB"/>
          <w14:ligatures w14:val="none"/>
        </w:rPr>
      </w:pPr>
    </w:p>
    <w:p w14:paraId="7396A658" w14:textId="233154E2" w:rsidR="00046FD1" w:rsidRPr="00046FD1" w:rsidRDefault="0089232D" w:rsidP="00D85804">
      <w:pPr>
        <w:pStyle w:val="ListParagraph"/>
        <w:numPr>
          <w:ilvl w:val="1"/>
          <w:numId w:val="8"/>
        </w:numPr>
        <w:spacing w:after="0"/>
        <w:ind w:left="352" w:hanging="522"/>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283970" w:rsidRPr="00AE6145">
        <w:rPr>
          <w:rFonts w:ascii="Calibri" w:eastAsia="Times New Roman" w:hAnsi="Calibri" w:cs="Calibri"/>
          <w:kern w:val="0"/>
          <w:lang w:eastAsia="en-GB"/>
          <w14:ligatures w14:val="none"/>
        </w:rPr>
        <w:t>Ethnicity Pay Gap</w:t>
      </w:r>
    </w:p>
    <w:p w14:paraId="0AA66772" w14:textId="5B2C9970" w:rsidR="00283970" w:rsidRDefault="00D85804" w:rsidP="00D85804">
      <w:pPr>
        <w:pStyle w:val="ListParagraph"/>
        <w:numPr>
          <w:ilvl w:val="0"/>
          <w:numId w:val="17"/>
        </w:numPr>
        <w:spacing w:after="0"/>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The ethnicity pay gap analysis shows a 0.87% pay advantage for Black, Asian, and Ethnic minority colleagues. This is due to a higher proportion of BME staff in Medical and Dental roles, which are among the Trust's highest-paid positions.</w:t>
      </w:r>
    </w:p>
    <w:p w14:paraId="5DEE3C62" w14:textId="77777777" w:rsidR="00046FD1" w:rsidRPr="00046FD1" w:rsidRDefault="00046FD1" w:rsidP="00D85804">
      <w:pPr>
        <w:pStyle w:val="ListParagraph"/>
        <w:spacing w:after="0"/>
        <w:ind w:left="1072"/>
        <w:jc w:val="both"/>
        <w:rPr>
          <w:rFonts w:ascii="Calibri" w:eastAsia="Times New Roman" w:hAnsi="Calibri" w:cs="Calibri"/>
          <w:kern w:val="0"/>
          <w:lang w:eastAsia="en-GB"/>
          <w14:ligatures w14:val="none"/>
        </w:rPr>
      </w:pPr>
    </w:p>
    <w:p w14:paraId="154FFFC5" w14:textId="3D170DBC" w:rsidR="00EE790F" w:rsidRDefault="00D85804" w:rsidP="00D85804">
      <w:pPr>
        <w:pStyle w:val="ListParagraph"/>
        <w:numPr>
          <w:ilvl w:val="1"/>
          <w:numId w:val="8"/>
        </w:numPr>
        <w:spacing w:after="0"/>
        <w:ind w:left="352" w:hanging="522"/>
        <w:jc w:val="both"/>
        <w:rPr>
          <w:rFonts w:ascii="Calibri" w:hAnsi="Calibri" w:cs="Calibri"/>
        </w:rPr>
      </w:pPr>
      <w:r>
        <w:rPr>
          <w:rFonts w:ascii="Calibri" w:hAnsi="Calibri" w:cs="Calibri"/>
        </w:rPr>
        <w:t xml:space="preserve"> </w:t>
      </w:r>
      <w:r w:rsidR="00EC650D" w:rsidRPr="00046FD1">
        <w:rPr>
          <w:rFonts w:ascii="Calibri" w:hAnsi="Calibri" w:cs="Calibri"/>
        </w:rPr>
        <w:t>Disability Pay Gap</w:t>
      </w:r>
    </w:p>
    <w:p w14:paraId="61CF139D" w14:textId="6E021A1C" w:rsidR="00EE790F" w:rsidRDefault="00EE790F" w:rsidP="00D85804">
      <w:pPr>
        <w:pStyle w:val="ListParagraph"/>
        <w:numPr>
          <w:ilvl w:val="0"/>
          <w:numId w:val="17"/>
        </w:numPr>
        <w:spacing w:after="0"/>
        <w:jc w:val="both"/>
        <w:rPr>
          <w:rFonts w:ascii="Calibri" w:eastAsia="Times New Roman" w:hAnsi="Calibri" w:cs="Calibri"/>
          <w:kern w:val="0"/>
          <w:lang w:eastAsia="en-GB"/>
          <w14:ligatures w14:val="none"/>
        </w:rPr>
      </w:pPr>
      <w:r w:rsidRPr="00046FD1">
        <w:rPr>
          <w:rFonts w:ascii="Calibri" w:eastAsia="Times New Roman" w:hAnsi="Calibri" w:cs="Calibri"/>
          <w:kern w:val="0"/>
          <w:lang w:eastAsia="en-GB"/>
          <w14:ligatures w14:val="none"/>
        </w:rPr>
        <w:t xml:space="preserve">The mean disability pay gap improved slightly from 10.62% to 10.21%. </w:t>
      </w:r>
      <w:r w:rsidRPr="00AE6145">
        <w:rPr>
          <w:rFonts w:ascii="Calibri" w:eastAsia="Times New Roman" w:hAnsi="Calibri" w:cs="Calibri"/>
          <w:kern w:val="0"/>
          <w:lang w:eastAsia="en-GB"/>
          <w14:ligatures w14:val="none"/>
        </w:rPr>
        <w:t xml:space="preserve">The gap still favours non-disabled staff, but the improvement is </w:t>
      </w:r>
      <w:r w:rsidRPr="00046FD1">
        <w:rPr>
          <w:rFonts w:ascii="Calibri" w:eastAsia="Times New Roman" w:hAnsi="Calibri" w:cs="Calibri"/>
          <w:kern w:val="0"/>
          <w:lang w:eastAsia="en-GB"/>
          <w14:ligatures w14:val="none"/>
        </w:rPr>
        <w:t xml:space="preserve">a </w:t>
      </w:r>
      <w:r w:rsidRPr="00AE6145">
        <w:rPr>
          <w:rFonts w:ascii="Calibri" w:eastAsia="Times New Roman" w:hAnsi="Calibri" w:cs="Calibri"/>
          <w:kern w:val="0"/>
          <w:lang w:eastAsia="en-GB"/>
          <w14:ligatures w14:val="none"/>
        </w:rPr>
        <w:t>positive</w:t>
      </w:r>
      <w:r w:rsidRPr="00046FD1">
        <w:rPr>
          <w:rFonts w:ascii="Calibri" w:eastAsia="Times New Roman" w:hAnsi="Calibri" w:cs="Calibri"/>
          <w:kern w:val="0"/>
          <w:lang w:eastAsia="en-GB"/>
          <w14:ligatures w14:val="none"/>
        </w:rPr>
        <w:t xml:space="preserve"> trend compared to the previous year.</w:t>
      </w:r>
    </w:p>
    <w:p w14:paraId="60306445" w14:textId="77777777" w:rsidR="00EE790F" w:rsidRPr="00EE790F" w:rsidRDefault="00EE790F" w:rsidP="00D85804">
      <w:pPr>
        <w:spacing w:after="0"/>
        <w:ind w:left="0"/>
        <w:jc w:val="both"/>
        <w:rPr>
          <w:rFonts w:ascii="Calibri" w:eastAsia="Times New Roman" w:hAnsi="Calibri" w:cs="Calibri"/>
          <w:kern w:val="0"/>
          <w:lang w:eastAsia="en-GB"/>
          <w14:ligatures w14:val="none"/>
        </w:rPr>
      </w:pPr>
      <w:r w:rsidRPr="00EE790F">
        <w:rPr>
          <w:rFonts w:ascii="Calibri" w:eastAsia="Times New Roman" w:hAnsi="Calibri" w:cs="Calibri"/>
          <w:kern w:val="0"/>
          <w:lang w:eastAsia="en-GB"/>
          <w14:ligatures w14:val="none"/>
        </w:rPr>
        <w:t xml:space="preserve"> </w:t>
      </w:r>
    </w:p>
    <w:p w14:paraId="6D3F7060" w14:textId="2D1ADA9A" w:rsidR="00D85804" w:rsidRPr="00D85804" w:rsidRDefault="00D85804" w:rsidP="00D85804">
      <w:pPr>
        <w:pStyle w:val="ListParagraph"/>
        <w:numPr>
          <w:ilvl w:val="1"/>
          <w:numId w:val="8"/>
        </w:numPr>
        <w:spacing w:after="0"/>
        <w:ind w:left="409" w:hanging="522"/>
        <w:jc w:val="both"/>
        <w:rPr>
          <w:rFonts w:ascii="Calibri" w:eastAsia="Times New Roman" w:hAnsi="Calibri" w:cs="Calibri"/>
          <w:kern w:val="0"/>
          <w:lang w:eastAsia="en-GB"/>
          <w14:ligatures w14:val="none"/>
        </w:rPr>
      </w:pPr>
      <w:r>
        <w:rPr>
          <w:rFonts w:ascii="Calibri" w:hAnsi="Calibri" w:cs="Calibri"/>
        </w:rPr>
        <w:t xml:space="preserve"> </w:t>
      </w:r>
      <w:r w:rsidR="00EE790F" w:rsidRPr="00EE790F">
        <w:rPr>
          <w:rFonts w:ascii="Calibri" w:hAnsi="Calibri" w:cs="Calibri"/>
        </w:rPr>
        <w:t xml:space="preserve">Despite progress, more work is needed to close pay gaps and improve the representation </w:t>
      </w:r>
      <w:r>
        <w:rPr>
          <w:rFonts w:ascii="Calibri" w:hAnsi="Calibri" w:cs="Calibri"/>
        </w:rPr>
        <w:t xml:space="preserve"> </w:t>
      </w:r>
    </w:p>
    <w:p w14:paraId="7CB837C7" w14:textId="7A411704" w:rsidR="00D85804" w:rsidRPr="00D85804" w:rsidRDefault="0089232D" w:rsidP="00D85804">
      <w:pPr>
        <w:pStyle w:val="ListParagraph"/>
        <w:spacing w:after="0"/>
        <w:ind w:left="409"/>
        <w:jc w:val="both"/>
        <w:rPr>
          <w:rFonts w:ascii="Calibri" w:eastAsia="Times New Roman" w:hAnsi="Calibri" w:cs="Calibri"/>
          <w:kern w:val="0"/>
          <w:lang w:eastAsia="en-GB"/>
          <w14:ligatures w14:val="none"/>
        </w:rPr>
      </w:pPr>
      <w:r>
        <w:rPr>
          <w:rFonts w:ascii="Calibri" w:hAnsi="Calibri" w:cs="Calibri"/>
        </w:rPr>
        <w:t xml:space="preserve"> </w:t>
      </w:r>
      <w:r w:rsidR="00EE790F" w:rsidRPr="00EE790F">
        <w:rPr>
          <w:rFonts w:ascii="Calibri" w:hAnsi="Calibri" w:cs="Calibri"/>
        </w:rPr>
        <w:t xml:space="preserve">of disabled, ethnic minority, and female staff in higher-paying roles. This report outlines </w:t>
      </w:r>
    </w:p>
    <w:p w14:paraId="060E8A0B" w14:textId="5907343A" w:rsidR="00BE6E7E" w:rsidRPr="00715B79" w:rsidRDefault="00D85804" w:rsidP="00715B79">
      <w:pPr>
        <w:pStyle w:val="ListParagraph"/>
        <w:spacing w:after="0"/>
        <w:ind w:left="409"/>
        <w:jc w:val="both"/>
        <w:rPr>
          <w:rFonts w:ascii="Calibri" w:hAnsi="Calibri" w:cs="Calibri"/>
        </w:rPr>
      </w:pPr>
      <w:r>
        <w:rPr>
          <w:rFonts w:ascii="Calibri" w:hAnsi="Calibri" w:cs="Calibri"/>
        </w:rPr>
        <w:t xml:space="preserve"> </w:t>
      </w:r>
      <w:r w:rsidR="00EE790F" w:rsidRPr="00EE790F">
        <w:rPr>
          <w:rFonts w:ascii="Calibri" w:hAnsi="Calibri" w:cs="Calibri"/>
        </w:rPr>
        <w:t>progress and actions aligned with the Trust’s EDI pla</w:t>
      </w:r>
      <w:r w:rsidR="000C251E">
        <w:rPr>
          <w:rFonts w:ascii="Calibri" w:hAnsi="Calibri" w:cs="Calibri"/>
        </w:rPr>
        <w:t>n</w:t>
      </w:r>
    </w:p>
    <w:p w14:paraId="041B0A5E" w14:textId="77777777" w:rsidR="00973EA3" w:rsidRDefault="00973EA3" w:rsidP="00D85804">
      <w:pPr>
        <w:spacing w:after="0"/>
        <w:ind w:left="0"/>
        <w:jc w:val="both"/>
        <w:rPr>
          <w:rFonts w:ascii="Calibri" w:eastAsia="Times New Roman" w:hAnsi="Calibri" w:cs="Calibri"/>
          <w:kern w:val="0"/>
          <w:lang w:eastAsia="en-GB"/>
          <w14:ligatures w14:val="none"/>
        </w:rPr>
      </w:pPr>
    </w:p>
    <w:p w14:paraId="11A37E33" w14:textId="77777777" w:rsidR="00973EA3" w:rsidRDefault="00973EA3" w:rsidP="00D85804">
      <w:pPr>
        <w:spacing w:after="0"/>
        <w:ind w:left="0"/>
        <w:jc w:val="both"/>
        <w:rPr>
          <w:rFonts w:ascii="Calibri" w:eastAsia="Times New Roman" w:hAnsi="Calibri" w:cs="Calibri"/>
          <w:kern w:val="0"/>
          <w:lang w:eastAsia="en-GB"/>
          <w14:ligatures w14:val="none"/>
        </w:rPr>
      </w:pPr>
    </w:p>
    <w:p w14:paraId="63DCFAFB" w14:textId="77777777" w:rsidR="00715B79" w:rsidRDefault="00715B79" w:rsidP="0089232D">
      <w:pPr>
        <w:spacing w:after="0"/>
        <w:ind w:left="0"/>
        <w:jc w:val="both"/>
        <w:rPr>
          <w:rFonts w:ascii="Calibri" w:eastAsia="Times New Roman" w:hAnsi="Calibri" w:cs="Calibri"/>
          <w:kern w:val="0"/>
          <w:lang w:eastAsia="en-GB"/>
          <w14:ligatures w14:val="none"/>
        </w:rPr>
      </w:pPr>
    </w:p>
    <w:p w14:paraId="6EBBA27A" w14:textId="77777777" w:rsidR="0055475E" w:rsidRDefault="0055475E" w:rsidP="0089232D">
      <w:pPr>
        <w:spacing w:after="0"/>
        <w:ind w:left="0"/>
        <w:jc w:val="both"/>
        <w:rPr>
          <w:rFonts w:ascii="Calibri" w:eastAsia="Times New Roman" w:hAnsi="Calibri" w:cs="Calibri"/>
          <w:kern w:val="0"/>
          <w:lang w:eastAsia="en-GB"/>
          <w14:ligatures w14:val="none"/>
        </w:rPr>
      </w:pPr>
    </w:p>
    <w:p w14:paraId="7D1AF731" w14:textId="77777777" w:rsidR="00394EC9" w:rsidRPr="0089232D" w:rsidRDefault="00394EC9" w:rsidP="0089232D">
      <w:pPr>
        <w:spacing w:after="0"/>
        <w:ind w:left="0"/>
        <w:jc w:val="both"/>
        <w:rPr>
          <w:rFonts w:ascii="Calibri" w:eastAsia="Times New Roman" w:hAnsi="Calibri" w:cs="Calibri"/>
          <w:kern w:val="0"/>
          <w:lang w:eastAsia="en-GB"/>
          <w14:ligatures w14:val="none"/>
        </w:rPr>
      </w:pPr>
    </w:p>
    <w:p w14:paraId="58B93F63" w14:textId="503A1AE6" w:rsidR="000C251E" w:rsidRDefault="00394EC9" w:rsidP="00394EC9">
      <w:pPr>
        <w:pStyle w:val="Heading1"/>
        <w:ind w:left="-737"/>
        <w:rPr>
          <w:rFonts w:eastAsia="Times New Roman"/>
          <w:lang w:eastAsia="en-GB"/>
        </w:rPr>
      </w:pPr>
      <w:bookmarkStart w:id="0" w:name="_Hlk208772735"/>
      <w:r>
        <w:rPr>
          <w:rFonts w:eastAsia="Times New Roman"/>
          <w:lang w:eastAsia="en-GB"/>
        </w:rPr>
        <w:lastRenderedPageBreak/>
        <w:t xml:space="preserve"> </w:t>
      </w:r>
      <w:r w:rsidR="000C251E" w:rsidRPr="008A7FB6">
        <w:rPr>
          <w:rFonts w:eastAsia="Times New Roman"/>
          <w:lang w:eastAsia="en-GB"/>
        </w:rPr>
        <w:t>2.0</w:t>
      </w:r>
      <w:r w:rsidR="000C251E" w:rsidRPr="002C1519">
        <w:rPr>
          <w:rFonts w:eastAsia="Times New Roman"/>
          <w:sz w:val="28"/>
          <w:szCs w:val="28"/>
          <w:lang w:eastAsia="en-GB"/>
        </w:rPr>
        <w:t xml:space="preserve">  </w:t>
      </w:r>
      <w:r w:rsidR="00891D98">
        <w:rPr>
          <w:rFonts w:eastAsia="Times New Roman"/>
          <w:sz w:val="28"/>
          <w:szCs w:val="28"/>
          <w:lang w:eastAsia="en-GB"/>
        </w:rPr>
        <w:t xml:space="preserve"> </w:t>
      </w:r>
      <w:r w:rsidR="000C251E" w:rsidRPr="008A7FB6">
        <w:rPr>
          <w:rFonts w:eastAsia="Times New Roman"/>
          <w:lang w:eastAsia="en-GB"/>
        </w:rPr>
        <w:t>Introduction and Context</w:t>
      </w:r>
    </w:p>
    <w:p w14:paraId="6ECFAF39" w14:textId="77777777" w:rsidR="0055475E" w:rsidRDefault="0055475E" w:rsidP="003938FE">
      <w:pPr>
        <w:spacing w:after="0"/>
        <w:ind w:left="-680"/>
        <w:jc w:val="both"/>
        <w:rPr>
          <w:rFonts w:ascii="Calibri" w:eastAsia="Times New Roman" w:hAnsi="Calibri" w:cs="Calibri"/>
          <w:kern w:val="0"/>
          <w:lang w:eastAsia="en-GB"/>
          <w14:ligatures w14:val="none"/>
        </w:rPr>
      </w:pPr>
    </w:p>
    <w:p w14:paraId="69CA5207" w14:textId="504DB8A4" w:rsidR="000C251E" w:rsidRDefault="000C251E" w:rsidP="003938FE">
      <w:pPr>
        <w:spacing w:after="0"/>
        <w:ind w:left="-567"/>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2.1    </w:t>
      </w:r>
      <w:r w:rsidR="00715B79">
        <w:rPr>
          <w:rFonts w:ascii="Calibri" w:eastAsia="Times New Roman" w:hAnsi="Calibri" w:cs="Calibri"/>
          <w:kern w:val="0"/>
          <w:lang w:eastAsia="en-GB"/>
          <w14:ligatures w14:val="none"/>
        </w:rPr>
        <w:t xml:space="preserve">  </w:t>
      </w:r>
      <w:r w:rsidRPr="000C251E">
        <w:rPr>
          <w:rFonts w:ascii="Calibri" w:eastAsia="Times New Roman" w:hAnsi="Calibri" w:cs="Calibri"/>
          <w:kern w:val="0"/>
          <w:lang w:eastAsia="en-GB"/>
          <w14:ligatures w14:val="none"/>
        </w:rPr>
        <w:t xml:space="preserve">Under the Equality Act 2010, a </w:t>
      </w:r>
      <w:r w:rsidRPr="000C251E">
        <w:rPr>
          <w:rFonts w:ascii="Calibri" w:eastAsia="Times New Roman" w:hAnsi="Calibri" w:cs="Calibri"/>
          <w:i/>
          <w:iCs/>
          <w:kern w:val="0"/>
          <w:lang w:eastAsia="en-GB"/>
          <w14:ligatures w14:val="none"/>
        </w:rPr>
        <w:t>pay gap</w:t>
      </w:r>
      <w:r w:rsidRPr="000C251E">
        <w:rPr>
          <w:rFonts w:ascii="Calibri" w:eastAsia="Times New Roman" w:hAnsi="Calibri" w:cs="Calibri"/>
          <w:kern w:val="0"/>
          <w:lang w:eastAsia="en-GB"/>
          <w14:ligatures w14:val="none"/>
        </w:rPr>
        <w:t xml:space="preserve"> is defined as the difference between the </w:t>
      </w:r>
      <w:r w:rsidR="008D25F8">
        <w:rPr>
          <w:rFonts w:ascii="Calibri" w:eastAsia="Times New Roman" w:hAnsi="Calibri" w:cs="Calibri"/>
          <w:kern w:val="0"/>
          <w:lang w:eastAsia="en-GB"/>
          <w14:ligatures w14:val="none"/>
        </w:rPr>
        <w:t>median</w:t>
      </w:r>
    </w:p>
    <w:p w14:paraId="7974B2B1" w14:textId="3FA8F447" w:rsidR="000C251E" w:rsidRDefault="000C251E" w:rsidP="003938FE">
      <w:pPr>
        <w:spacing w:after="0"/>
        <w:ind w:left="-567"/>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715B79">
        <w:rPr>
          <w:rFonts w:ascii="Calibri" w:eastAsia="Times New Roman" w:hAnsi="Calibri" w:cs="Calibri"/>
          <w:kern w:val="0"/>
          <w:lang w:eastAsia="en-GB"/>
          <w14:ligatures w14:val="none"/>
        </w:rPr>
        <w:t xml:space="preserve"> </w:t>
      </w:r>
      <w:r w:rsidRPr="000C251E">
        <w:rPr>
          <w:rFonts w:ascii="Calibri" w:eastAsia="Times New Roman" w:hAnsi="Calibri" w:cs="Calibri"/>
          <w:kern w:val="0"/>
          <w:lang w:eastAsia="en-GB"/>
          <w14:ligatures w14:val="none"/>
        </w:rPr>
        <w:t xml:space="preserve">(or mean) hourly pay of two distinct groups of employees, for example, by </w:t>
      </w:r>
      <w:r w:rsidR="008D25F8">
        <w:rPr>
          <w:rFonts w:ascii="Calibri" w:eastAsia="Times New Roman" w:hAnsi="Calibri" w:cs="Calibri"/>
          <w:kern w:val="0"/>
          <w:lang w:eastAsia="en-GB"/>
          <w14:ligatures w14:val="none"/>
        </w:rPr>
        <w:t>gender, ethnicity</w:t>
      </w:r>
    </w:p>
    <w:p w14:paraId="2472A4F6" w14:textId="0EDC7183" w:rsidR="003938FE" w:rsidRDefault="000C251E" w:rsidP="003938FE">
      <w:pPr>
        <w:spacing w:after="0"/>
        <w:ind w:left="-567"/>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715B79">
        <w:rPr>
          <w:rFonts w:ascii="Calibri" w:eastAsia="Times New Roman" w:hAnsi="Calibri" w:cs="Calibri"/>
          <w:kern w:val="0"/>
          <w:lang w:eastAsia="en-GB"/>
          <w14:ligatures w14:val="none"/>
        </w:rPr>
        <w:t xml:space="preserve">  </w:t>
      </w:r>
      <w:r w:rsidRPr="000C251E">
        <w:rPr>
          <w:rFonts w:ascii="Calibri" w:eastAsia="Times New Roman" w:hAnsi="Calibri" w:cs="Calibri"/>
          <w:kern w:val="0"/>
          <w:lang w:eastAsia="en-GB"/>
          <w14:ligatures w14:val="none"/>
        </w:rPr>
        <w:t>or disability</w:t>
      </w:r>
    </w:p>
    <w:p w14:paraId="0B16CC29" w14:textId="5D51C154" w:rsidR="000C251E" w:rsidRDefault="000C251E" w:rsidP="003938FE">
      <w:pPr>
        <w:spacing w:after="0"/>
        <w:ind w:left="-567"/>
        <w:jc w:val="both"/>
        <w:rPr>
          <w:rFonts w:ascii="Calibri" w:eastAsia="Times New Roman" w:hAnsi="Calibri" w:cs="Calibri"/>
          <w:kern w:val="0"/>
          <w:lang w:eastAsia="en-GB"/>
          <w14:ligatures w14:val="none"/>
        </w:rPr>
      </w:pPr>
      <w:r w:rsidRPr="000C251E">
        <w:rPr>
          <w:rFonts w:ascii="Calibri" w:eastAsia="Times New Roman" w:hAnsi="Calibri" w:cs="Calibri"/>
          <w:kern w:val="0"/>
          <w:lang w:eastAsia="en-GB"/>
          <w14:ligatures w14:val="none"/>
        </w:rPr>
        <w:t>.</w:t>
      </w:r>
    </w:p>
    <w:p w14:paraId="46308FE9" w14:textId="30FA5392" w:rsidR="00715B79" w:rsidRDefault="00715B79" w:rsidP="003938FE">
      <w:pPr>
        <w:spacing w:after="0"/>
        <w:ind w:left="-567"/>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2.2      </w:t>
      </w:r>
      <w:r w:rsidRPr="000C251E">
        <w:rPr>
          <w:rFonts w:ascii="Calibri" w:eastAsia="Times New Roman" w:hAnsi="Calibri" w:cs="Calibri"/>
          <w:kern w:val="0"/>
          <w:lang w:eastAsia="en-GB"/>
          <w14:ligatures w14:val="none"/>
        </w:rPr>
        <w:t>At Sandwell and</w:t>
      </w:r>
      <w:r w:rsidR="00891D98">
        <w:rPr>
          <w:rFonts w:ascii="Calibri" w:eastAsia="Times New Roman" w:hAnsi="Calibri" w:cs="Calibri"/>
          <w:kern w:val="0"/>
          <w:lang w:eastAsia="en-GB"/>
          <w14:ligatures w14:val="none"/>
        </w:rPr>
        <w:t xml:space="preserve"> </w:t>
      </w:r>
      <w:r w:rsidRPr="000C251E">
        <w:rPr>
          <w:rFonts w:ascii="Calibri" w:eastAsia="Times New Roman" w:hAnsi="Calibri" w:cs="Calibri"/>
          <w:kern w:val="0"/>
          <w:lang w:eastAsia="en-GB"/>
          <w14:ligatures w14:val="none"/>
        </w:rPr>
        <w:t xml:space="preserve"> West Birmingham NHS Trust, we report on gender, ethnicity, and</w:t>
      </w:r>
      <w:r>
        <w:rPr>
          <w:rFonts w:ascii="Calibri" w:eastAsia="Times New Roman" w:hAnsi="Calibri" w:cs="Calibri"/>
          <w:kern w:val="0"/>
          <w:lang w:eastAsia="en-GB"/>
          <w14:ligatures w14:val="none"/>
        </w:rPr>
        <w:t xml:space="preserve"> </w:t>
      </w:r>
    </w:p>
    <w:p w14:paraId="500DBBAE" w14:textId="060B7F79" w:rsidR="00715B79" w:rsidRDefault="00715B79" w:rsidP="003938FE">
      <w:pPr>
        <w:spacing w:after="0"/>
        <w:ind w:left="-567"/>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Pr="000C251E">
        <w:rPr>
          <w:rFonts w:ascii="Calibri" w:eastAsia="Times New Roman" w:hAnsi="Calibri" w:cs="Calibri"/>
          <w:kern w:val="0"/>
          <w:lang w:eastAsia="en-GB"/>
          <w14:ligatures w14:val="none"/>
        </w:rPr>
        <w:t xml:space="preserve">disability pay gaps using the same methodology required for </w:t>
      </w:r>
      <w:r w:rsidR="003938FE">
        <w:rPr>
          <w:rFonts w:ascii="Calibri" w:eastAsia="Times New Roman" w:hAnsi="Calibri" w:cs="Calibri"/>
          <w:kern w:val="0"/>
          <w:lang w:eastAsia="en-GB"/>
          <w14:ligatures w14:val="none"/>
        </w:rPr>
        <w:t xml:space="preserve">the </w:t>
      </w:r>
      <w:r w:rsidRPr="000C251E">
        <w:rPr>
          <w:rFonts w:ascii="Calibri" w:eastAsia="Times New Roman" w:hAnsi="Calibri" w:cs="Calibri"/>
          <w:kern w:val="0"/>
          <w:lang w:eastAsia="en-GB"/>
          <w14:ligatures w14:val="none"/>
        </w:rPr>
        <w:t xml:space="preserve">statutory gender pay gap </w:t>
      </w:r>
    </w:p>
    <w:p w14:paraId="39E5DA7A" w14:textId="3234BC01" w:rsidR="00715B79" w:rsidRPr="000C251E" w:rsidRDefault="00715B79" w:rsidP="003938FE">
      <w:pPr>
        <w:spacing w:after="0"/>
        <w:ind w:left="-340"/>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Pr="000C251E">
        <w:rPr>
          <w:rFonts w:ascii="Calibri" w:eastAsia="Times New Roman" w:hAnsi="Calibri" w:cs="Calibri"/>
          <w:kern w:val="0"/>
          <w:lang w:eastAsia="en-GB"/>
          <w14:ligatures w14:val="none"/>
        </w:rPr>
        <w:t>reporting in the UK. These are as follows:</w:t>
      </w:r>
    </w:p>
    <w:p w14:paraId="14BC4E54" w14:textId="3D8A6D8A" w:rsidR="00715B79" w:rsidRPr="003938FE" w:rsidRDefault="00715B79" w:rsidP="003938FE">
      <w:pPr>
        <w:pStyle w:val="ListParagraph"/>
        <w:numPr>
          <w:ilvl w:val="0"/>
          <w:numId w:val="17"/>
        </w:numPr>
        <w:spacing w:after="0"/>
        <w:jc w:val="both"/>
        <w:rPr>
          <w:rFonts w:ascii="Calibri" w:eastAsia="Times New Roman" w:hAnsi="Calibri" w:cs="Calibri"/>
          <w:kern w:val="0"/>
          <w:lang w:eastAsia="en-GB"/>
          <w14:ligatures w14:val="none"/>
        </w:rPr>
      </w:pPr>
      <w:r w:rsidRPr="003938FE">
        <w:rPr>
          <w:rFonts w:ascii="Calibri" w:eastAsia="Times New Roman" w:hAnsi="Calibri" w:cs="Calibri"/>
          <w:b/>
          <w:bCs/>
          <w:kern w:val="0"/>
          <w:lang w:eastAsia="en-GB"/>
          <w14:ligatures w14:val="none"/>
        </w:rPr>
        <w:t>Gender Pay Gap</w:t>
      </w:r>
      <w:r w:rsidRPr="003938FE">
        <w:rPr>
          <w:rFonts w:ascii="Calibri" w:eastAsia="Times New Roman" w:hAnsi="Calibri" w:cs="Calibri"/>
          <w:kern w:val="0"/>
          <w:lang w:eastAsia="en-GB"/>
          <w14:ligatures w14:val="none"/>
        </w:rPr>
        <w:t xml:space="preserve">: The percentage difference in median gross hourly earnings between </w:t>
      </w:r>
      <w:r w:rsidR="003938FE">
        <w:rPr>
          <w:rFonts w:ascii="Calibri" w:eastAsia="Times New Roman" w:hAnsi="Calibri" w:cs="Calibri"/>
          <w:kern w:val="0"/>
          <w:lang w:eastAsia="en-GB"/>
          <w14:ligatures w14:val="none"/>
        </w:rPr>
        <w:t>male</w:t>
      </w:r>
      <w:r w:rsidR="003938FE" w:rsidRPr="003938FE">
        <w:rPr>
          <w:rFonts w:ascii="Calibri" w:eastAsia="Times New Roman" w:hAnsi="Calibri" w:cs="Calibri"/>
          <w:kern w:val="0"/>
          <w:lang w:eastAsia="en-GB"/>
          <w14:ligatures w14:val="none"/>
        </w:rPr>
        <w:t xml:space="preserve"> a</w:t>
      </w:r>
      <w:r w:rsidR="003938FE">
        <w:rPr>
          <w:rFonts w:ascii="Calibri" w:eastAsia="Times New Roman" w:hAnsi="Calibri" w:cs="Calibri"/>
          <w:kern w:val="0"/>
          <w:lang w:eastAsia="en-GB"/>
          <w14:ligatures w14:val="none"/>
        </w:rPr>
        <w:t>n</w:t>
      </w:r>
      <w:r w:rsidR="003938FE" w:rsidRPr="003938FE">
        <w:rPr>
          <w:rFonts w:ascii="Calibri" w:eastAsia="Times New Roman" w:hAnsi="Calibri" w:cs="Calibri"/>
          <w:kern w:val="0"/>
          <w:lang w:eastAsia="en-GB"/>
          <w14:ligatures w14:val="none"/>
        </w:rPr>
        <w:t>d female</w:t>
      </w:r>
      <w:r w:rsidRPr="003938FE">
        <w:rPr>
          <w:rFonts w:ascii="Calibri" w:eastAsia="Times New Roman" w:hAnsi="Calibri" w:cs="Calibri"/>
          <w:kern w:val="0"/>
          <w:lang w:eastAsia="en-GB"/>
          <w14:ligatures w14:val="none"/>
        </w:rPr>
        <w:t xml:space="preserve"> colleagues.</w:t>
      </w:r>
    </w:p>
    <w:p w14:paraId="1715A0E5" w14:textId="77777777" w:rsidR="00715B79" w:rsidRPr="008D3C0E" w:rsidRDefault="00715B79" w:rsidP="003938FE">
      <w:pPr>
        <w:pStyle w:val="ListParagraph"/>
        <w:numPr>
          <w:ilvl w:val="0"/>
          <w:numId w:val="17"/>
        </w:numPr>
        <w:spacing w:after="0"/>
        <w:jc w:val="both"/>
        <w:rPr>
          <w:rFonts w:ascii="Calibri" w:eastAsia="Times New Roman" w:hAnsi="Calibri" w:cs="Calibri"/>
          <w:kern w:val="0"/>
          <w:lang w:eastAsia="en-GB"/>
          <w14:ligatures w14:val="none"/>
        </w:rPr>
      </w:pPr>
      <w:r w:rsidRPr="008D3C0E">
        <w:rPr>
          <w:rFonts w:ascii="Calibri" w:eastAsia="Times New Roman" w:hAnsi="Calibri" w:cs="Calibri"/>
          <w:b/>
          <w:bCs/>
          <w:kern w:val="0"/>
          <w:lang w:eastAsia="en-GB"/>
          <w14:ligatures w14:val="none"/>
        </w:rPr>
        <w:t>Ethnicity Pay Gap</w:t>
      </w:r>
      <w:r w:rsidRPr="008D3C0E">
        <w:rPr>
          <w:rFonts w:ascii="Calibri" w:eastAsia="Times New Roman" w:hAnsi="Calibri" w:cs="Calibri"/>
          <w:kern w:val="0"/>
          <w:lang w:eastAsia="en-GB"/>
          <w14:ligatures w14:val="none"/>
        </w:rPr>
        <w:t>: The percentage difference in median gross hourly earnings between colleagues from White or White British backgrounds and those from ethnic minority backgrounds.</w:t>
      </w:r>
    </w:p>
    <w:p w14:paraId="33CA2365" w14:textId="77777777" w:rsidR="00715B79" w:rsidRPr="00D85804" w:rsidRDefault="00715B79" w:rsidP="003938FE">
      <w:pPr>
        <w:pStyle w:val="ListParagraph"/>
        <w:numPr>
          <w:ilvl w:val="0"/>
          <w:numId w:val="17"/>
        </w:numPr>
        <w:jc w:val="both"/>
        <w:rPr>
          <w:rFonts w:ascii="Calibri" w:eastAsia="Times New Roman" w:hAnsi="Calibri" w:cs="Calibri"/>
          <w:kern w:val="0"/>
          <w:lang w:eastAsia="en-GB"/>
          <w14:ligatures w14:val="none"/>
        </w:rPr>
      </w:pPr>
      <w:r w:rsidRPr="008D3C0E">
        <w:rPr>
          <w:rFonts w:ascii="Calibri" w:eastAsia="Times New Roman" w:hAnsi="Calibri" w:cs="Calibri"/>
          <w:b/>
          <w:bCs/>
          <w:kern w:val="0"/>
          <w:lang w:eastAsia="en-GB"/>
          <w14:ligatures w14:val="none"/>
        </w:rPr>
        <w:t>Disability Pay Gap</w:t>
      </w:r>
      <w:r w:rsidRPr="008D3C0E">
        <w:rPr>
          <w:rFonts w:ascii="Calibri" w:eastAsia="Times New Roman" w:hAnsi="Calibri" w:cs="Calibri"/>
          <w:kern w:val="0"/>
          <w:lang w:eastAsia="en-GB"/>
          <w14:ligatures w14:val="none"/>
        </w:rPr>
        <w:t>: The percentage difference in median gross hourly earnings between colleagues who have disclosed a disability and those who have not, based on data from the Electronic Staff Record (ESR).</w:t>
      </w:r>
    </w:p>
    <w:p w14:paraId="5CA00D1C" w14:textId="57C65347" w:rsidR="003938FE" w:rsidRDefault="003938FE" w:rsidP="003938FE">
      <w:pPr>
        <w:spacing w:after="0"/>
        <w:ind w:left="-454"/>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2.3  </w:t>
      </w:r>
      <w:bookmarkStart w:id="1" w:name="_Hlk208814654"/>
      <w:r w:rsidR="003775D6">
        <w:rPr>
          <w:rFonts w:ascii="Calibri" w:eastAsia="Times New Roman" w:hAnsi="Calibri" w:cs="Calibri"/>
          <w:kern w:val="0"/>
          <w:lang w:eastAsia="en-GB"/>
          <w14:ligatures w14:val="none"/>
        </w:rPr>
        <w:t xml:space="preserve"> </w:t>
      </w:r>
      <w:r w:rsidR="00355D1E">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The Trust</w:t>
      </w:r>
      <w:r w:rsidRPr="00883FE2">
        <w:rPr>
          <w:rFonts w:ascii="Calibri" w:eastAsia="Times New Roman" w:hAnsi="Calibri" w:cs="Calibri"/>
          <w:kern w:val="0"/>
          <w:lang w:eastAsia="en-GB"/>
          <w14:ligatures w14:val="none"/>
        </w:rPr>
        <w:t xml:space="preserve"> use the following six standard measures to calculate and report these pay </w:t>
      </w:r>
      <w:r>
        <w:rPr>
          <w:rFonts w:ascii="Calibri" w:eastAsia="Times New Roman" w:hAnsi="Calibri" w:cs="Calibri"/>
          <w:kern w:val="0"/>
          <w:lang w:eastAsia="en-GB"/>
          <w14:ligatures w14:val="none"/>
        </w:rPr>
        <w:t xml:space="preserve">         </w:t>
      </w:r>
    </w:p>
    <w:p w14:paraId="78B0B97D" w14:textId="6026D3CD" w:rsidR="003938FE" w:rsidRPr="00883FE2" w:rsidRDefault="003938FE" w:rsidP="003938FE">
      <w:pPr>
        <w:spacing w:after="0"/>
        <w:ind w:left="-170"/>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355D1E">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 </w:t>
      </w:r>
      <w:r w:rsidR="003775D6">
        <w:rPr>
          <w:rFonts w:ascii="Calibri" w:eastAsia="Times New Roman" w:hAnsi="Calibri" w:cs="Calibri"/>
          <w:kern w:val="0"/>
          <w:lang w:eastAsia="en-GB"/>
          <w14:ligatures w14:val="none"/>
        </w:rPr>
        <w:t xml:space="preserve"> </w:t>
      </w:r>
      <w:r w:rsidR="00891D98">
        <w:rPr>
          <w:rFonts w:ascii="Calibri" w:eastAsia="Times New Roman" w:hAnsi="Calibri" w:cs="Calibri"/>
          <w:kern w:val="0"/>
          <w:lang w:eastAsia="en-GB"/>
          <w14:ligatures w14:val="none"/>
        </w:rPr>
        <w:t xml:space="preserve"> </w:t>
      </w:r>
      <w:r w:rsidRPr="00883FE2">
        <w:rPr>
          <w:rFonts w:ascii="Calibri" w:eastAsia="Times New Roman" w:hAnsi="Calibri" w:cs="Calibri"/>
          <w:kern w:val="0"/>
          <w:lang w:eastAsia="en-GB"/>
          <w14:ligatures w14:val="none"/>
        </w:rPr>
        <w:t>gaps:</w:t>
      </w:r>
      <w:r>
        <w:rPr>
          <w:rFonts w:ascii="Calibri" w:eastAsia="Times New Roman" w:hAnsi="Calibri" w:cs="Calibri"/>
          <w:kern w:val="0"/>
          <w:lang w:eastAsia="en-GB"/>
          <w14:ligatures w14:val="none"/>
        </w:rPr>
        <w:t xml:space="preserve"> These are as follows:</w:t>
      </w:r>
      <w:bookmarkEnd w:id="1"/>
      <w:r w:rsidR="000C251E">
        <w:rPr>
          <w:rFonts w:ascii="Calibri" w:eastAsia="Times New Roman" w:hAnsi="Calibri" w:cs="Calibri"/>
          <w:kern w:val="0"/>
          <w:lang w:eastAsia="en-GB"/>
          <w14:ligatures w14:val="none"/>
        </w:rPr>
        <w:t xml:space="preserve"> </w:t>
      </w:r>
      <w:bookmarkStart w:id="2" w:name="_Hlk208814587"/>
    </w:p>
    <w:bookmarkEnd w:id="2"/>
    <w:p w14:paraId="5CC1DAEF" w14:textId="77777777" w:rsidR="0089232D" w:rsidRPr="00883FE2" w:rsidRDefault="0089232D" w:rsidP="003938FE">
      <w:pPr>
        <w:spacing w:after="0"/>
        <w:ind w:left="-170"/>
        <w:jc w:val="both"/>
        <w:rPr>
          <w:rFonts w:ascii="Calibri" w:eastAsia="Times New Roman" w:hAnsi="Calibri" w:cs="Calibri"/>
          <w:kern w:val="0"/>
          <w:lang w:eastAsia="en-GB"/>
          <w14:ligatures w14:val="none"/>
        </w:rPr>
      </w:pPr>
    </w:p>
    <w:p w14:paraId="18483191" w14:textId="7DE34BFE" w:rsidR="00883FE2" w:rsidRPr="003938FE" w:rsidRDefault="00883FE2" w:rsidP="003938FE">
      <w:pPr>
        <w:pStyle w:val="ListParagraph"/>
        <w:numPr>
          <w:ilvl w:val="0"/>
          <w:numId w:val="28"/>
        </w:numPr>
        <w:spacing w:after="0"/>
        <w:jc w:val="both"/>
        <w:rPr>
          <w:rFonts w:ascii="Calibri" w:eastAsia="Times New Roman" w:hAnsi="Calibri" w:cs="Calibri"/>
          <w:kern w:val="0"/>
          <w:lang w:eastAsia="en-GB"/>
          <w14:ligatures w14:val="none"/>
        </w:rPr>
      </w:pPr>
      <w:r w:rsidRPr="003938FE">
        <w:rPr>
          <w:rFonts w:ascii="Calibri" w:eastAsia="Times New Roman" w:hAnsi="Calibri" w:cs="Calibri"/>
          <w:kern w:val="0"/>
          <w:lang w:eastAsia="en-GB"/>
          <w14:ligatures w14:val="none"/>
        </w:rPr>
        <w:t>Median Pay Gap</w:t>
      </w:r>
      <w:r w:rsidR="000C251E" w:rsidRPr="003938FE">
        <w:rPr>
          <w:rFonts w:ascii="Calibri" w:eastAsia="Times New Roman" w:hAnsi="Calibri" w:cs="Calibri"/>
          <w:kern w:val="0"/>
          <w:lang w:eastAsia="en-GB"/>
          <w14:ligatures w14:val="none"/>
        </w:rPr>
        <w:t>:</w:t>
      </w:r>
      <w:r w:rsidRPr="003938FE">
        <w:rPr>
          <w:rFonts w:ascii="Calibri" w:eastAsia="Times New Roman" w:hAnsi="Calibri" w:cs="Calibri"/>
          <w:kern w:val="0"/>
          <w:lang w:eastAsia="en-GB"/>
          <w14:ligatures w14:val="none"/>
        </w:rPr>
        <w:t xml:space="preserve"> The difference in the median hourly pay between:</w:t>
      </w:r>
    </w:p>
    <w:p w14:paraId="24A2402C" w14:textId="77777777" w:rsidR="00883FE2" w:rsidRPr="00BE6E7E" w:rsidRDefault="00883FE2" w:rsidP="003938FE">
      <w:pPr>
        <w:pStyle w:val="ListParagraph"/>
        <w:numPr>
          <w:ilvl w:val="0"/>
          <w:numId w:val="30"/>
        </w:numPr>
        <w:spacing w:after="0"/>
        <w:jc w:val="both"/>
        <w:rPr>
          <w:rFonts w:ascii="Calibri" w:eastAsia="Times New Roman" w:hAnsi="Calibri" w:cs="Calibri"/>
          <w:kern w:val="0"/>
          <w:lang w:eastAsia="en-GB"/>
          <w14:ligatures w14:val="none"/>
        </w:rPr>
      </w:pPr>
      <w:r w:rsidRPr="00BE6E7E">
        <w:rPr>
          <w:rFonts w:ascii="Calibri" w:eastAsia="Times New Roman" w:hAnsi="Calibri" w:cs="Calibri"/>
          <w:kern w:val="0"/>
          <w:lang w:eastAsia="en-GB"/>
          <w14:ligatures w14:val="none"/>
        </w:rPr>
        <w:t>Male and female employees</w:t>
      </w:r>
    </w:p>
    <w:p w14:paraId="7F84B02C" w14:textId="77777777" w:rsidR="00883FE2" w:rsidRPr="00BE6E7E" w:rsidRDefault="00883FE2" w:rsidP="003938FE">
      <w:pPr>
        <w:pStyle w:val="ListParagraph"/>
        <w:numPr>
          <w:ilvl w:val="0"/>
          <w:numId w:val="30"/>
        </w:numPr>
        <w:spacing w:after="0"/>
        <w:jc w:val="both"/>
        <w:rPr>
          <w:rFonts w:ascii="Calibri" w:eastAsia="Times New Roman" w:hAnsi="Calibri" w:cs="Calibri"/>
          <w:kern w:val="0"/>
          <w:lang w:eastAsia="en-GB"/>
          <w14:ligatures w14:val="none"/>
        </w:rPr>
      </w:pPr>
      <w:r w:rsidRPr="00BE6E7E">
        <w:rPr>
          <w:rFonts w:ascii="Calibri" w:eastAsia="Times New Roman" w:hAnsi="Calibri" w:cs="Calibri"/>
          <w:kern w:val="0"/>
          <w:lang w:eastAsia="en-GB"/>
          <w14:ligatures w14:val="none"/>
        </w:rPr>
        <w:t>White employees and those from ethnic minority backgrounds</w:t>
      </w:r>
    </w:p>
    <w:p w14:paraId="2067802C" w14:textId="77777777" w:rsidR="00883FE2" w:rsidRDefault="00883FE2" w:rsidP="003938FE">
      <w:pPr>
        <w:pStyle w:val="ListParagraph"/>
        <w:numPr>
          <w:ilvl w:val="0"/>
          <w:numId w:val="30"/>
        </w:numPr>
        <w:spacing w:after="0"/>
        <w:jc w:val="both"/>
        <w:rPr>
          <w:rFonts w:ascii="Calibri" w:eastAsia="Times New Roman" w:hAnsi="Calibri" w:cs="Calibri"/>
          <w:kern w:val="0"/>
          <w:lang w:eastAsia="en-GB"/>
          <w14:ligatures w14:val="none"/>
        </w:rPr>
      </w:pPr>
      <w:r w:rsidRPr="00BE6E7E">
        <w:rPr>
          <w:rFonts w:ascii="Calibri" w:eastAsia="Times New Roman" w:hAnsi="Calibri" w:cs="Calibri"/>
          <w:kern w:val="0"/>
          <w:lang w:eastAsia="en-GB"/>
          <w14:ligatures w14:val="none"/>
        </w:rPr>
        <w:t>Disabled and non-disabled employees</w:t>
      </w:r>
    </w:p>
    <w:p w14:paraId="4EA6F2C7" w14:textId="77777777" w:rsidR="0089232D" w:rsidRPr="00BE6E7E" w:rsidRDefault="0089232D" w:rsidP="003938FE">
      <w:pPr>
        <w:pStyle w:val="ListParagraph"/>
        <w:spacing w:after="0"/>
        <w:ind w:left="-170"/>
        <w:jc w:val="both"/>
        <w:rPr>
          <w:rFonts w:ascii="Calibri" w:eastAsia="Times New Roman" w:hAnsi="Calibri" w:cs="Calibri"/>
          <w:kern w:val="0"/>
          <w:lang w:eastAsia="en-GB"/>
          <w14:ligatures w14:val="none"/>
        </w:rPr>
      </w:pPr>
    </w:p>
    <w:p w14:paraId="7C785419" w14:textId="77777777" w:rsidR="00BE6E7E" w:rsidRPr="003938FE" w:rsidRDefault="00883FE2" w:rsidP="003938FE">
      <w:pPr>
        <w:pStyle w:val="ListParagraph"/>
        <w:numPr>
          <w:ilvl w:val="0"/>
          <w:numId w:val="28"/>
        </w:numPr>
        <w:spacing w:after="0"/>
        <w:jc w:val="both"/>
        <w:rPr>
          <w:rFonts w:ascii="Calibri" w:eastAsia="Times New Roman" w:hAnsi="Calibri" w:cs="Calibri"/>
          <w:kern w:val="0"/>
          <w:lang w:eastAsia="en-GB"/>
          <w14:ligatures w14:val="none"/>
        </w:rPr>
      </w:pPr>
      <w:r w:rsidRPr="003938FE">
        <w:rPr>
          <w:rFonts w:ascii="Calibri" w:eastAsia="Times New Roman" w:hAnsi="Calibri" w:cs="Calibri"/>
          <w:kern w:val="0"/>
          <w:lang w:eastAsia="en-GB"/>
          <w14:ligatures w14:val="none"/>
        </w:rPr>
        <w:t>Mean Pay Gap</w:t>
      </w:r>
      <w:r w:rsidR="000C251E" w:rsidRPr="003938FE">
        <w:rPr>
          <w:rFonts w:ascii="Calibri" w:eastAsia="Times New Roman" w:hAnsi="Calibri" w:cs="Calibri"/>
          <w:kern w:val="0"/>
          <w:lang w:eastAsia="en-GB"/>
          <w14:ligatures w14:val="none"/>
        </w:rPr>
        <w:t>:</w:t>
      </w:r>
      <w:r w:rsidRPr="003938FE">
        <w:rPr>
          <w:rFonts w:ascii="Calibri" w:eastAsia="Times New Roman" w:hAnsi="Calibri" w:cs="Calibri"/>
          <w:kern w:val="0"/>
          <w:lang w:eastAsia="en-GB"/>
          <w14:ligatures w14:val="none"/>
        </w:rPr>
        <w:t xml:space="preserve"> The difference in the mean (average) hourly pay between the same</w:t>
      </w:r>
    </w:p>
    <w:p w14:paraId="3DACD8F3" w14:textId="7639D80A" w:rsidR="00883FE2" w:rsidRPr="00883FE2" w:rsidRDefault="00BE6E7E" w:rsidP="003938FE">
      <w:pPr>
        <w:spacing w:after="0"/>
        <w:ind w:left="-170"/>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3938FE">
        <w:rPr>
          <w:rFonts w:ascii="Calibri" w:eastAsia="Times New Roman" w:hAnsi="Calibri" w:cs="Calibri"/>
          <w:kern w:val="0"/>
          <w:lang w:eastAsia="en-GB"/>
          <w14:ligatures w14:val="none"/>
        </w:rPr>
        <w:t xml:space="preserve">            </w:t>
      </w:r>
      <w:r w:rsidR="00883FE2" w:rsidRPr="00883FE2">
        <w:rPr>
          <w:rFonts w:ascii="Calibri" w:eastAsia="Times New Roman" w:hAnsi="Calibri" w:cs="Calibri"/>
          <w:kern w:val="0"/>
          <w:lang w:eastAsia="en-GB"/>
          <w14:ligatures w14:val="none"/>
        </w:rPr>
        <w:t>groups above.</w:t>
      </w:r>
    </w:p>
    <w:p w14:paraId="2B0BA843" w14:textId="4EACDD77" w:rsidR="00883FE2" w:rsidRPr="003938FE" w:rsidRDefault="00883FE2" w:rsidP="003938FE">
      <w:pPr>
        <w:pStyle w:val="ListParagraph"/>
        <w:numPr>
          <w:ilvl w:val="0"/>
          <w:numId w:val="28"/>
        </w:numPr>
        <w:spacing w:before="100" w:beforeAutospacing="1" w:after="0"/>
        <w:jc w:val="both"/>
        <w:rPr>
          <w:rFonts w:ascii="Calibri" w:eastAsia="Times New Roman" w:hAnsi="Calibri" w:cs="Calibri"/>
          <w:kern w:val="0"/>
          <w:lang w:eastAsia="en-GB"/>
          <w14:ligatures w14:val="none"/>
        </w:rPr>
      </w:pPr>
      <w:r w:rsidRPr="003938FE">
        <w:rPr>
          <w:rFonts w:ascii="Calibri" w:eastAsia="Times New Roman" w:hAnsi="Calibri" w:cs="Calibri"/>
          <w:kern w:val="0"/>
          <w:lang w:eastAsia="en-GB"/>
          <w14:ligatures w14:val="none"/>
        </w:rPr>
        <w:t>Bonus Pay Proportions</w:t>
      </w:r>
      <w:r w:rsidR="000C251E" w:rsidRPr="003938FE">
        <w:rPr>
          <w:rFonts w:ascii="Calibri" w:eastAsia="Times New Roman" w:hAnsi="Calibri" w:cs="Calibri"/>
          <w:kern w:val="0"/>
          <w:lang w:eastAsia="en-GB"/>
          <w14:ligatures w14:val="none"/>
        </w:rPr>
        <w:t>:</w:t>
      </w:r>
      <w:r w:rsidRPr="003938FE">
        <w:rPr>
          <w:rFonts w:ascii="Calibri" w:eastAsia="Times New Roman" w:hAnsi="Calibri" w:cs="Calibri"/>
          <w:kern w:val="0"/>
          <w:lang w:eastAsia="en-GB"/>
          <w14:ligatures w14:val="none"/>
        </w:rPr>
        <w:t xml:space="preserve"> The percentage of employees who received bonus pay,</w:t>
      </w:r>
      <w:r w:rsidR="00BE6E7E" w:rsidRPr="003938FE">
        <w:rPr>
          <w:rFonts w:ascii="Calibri" w:eastAsia="Times New Roman" w:hAnsi="Calibri" w:cs="Calibri"/>
          <w:kern w:val="0"/>
          <w:lang w:eastAsia="en-GB"/>
          <w14:ligatures w14:val="none"/>
        </w:rPr>
        <w:t xml:space="preserve">  </w:t>
      </w:r>
      <w:r w:rsidRPr="003938FE">
        <w:rPr>
          <w:rFonts w:ascii="Calibri" w:eastAsia="Times New Roman" w:hAnsi="Calibri" w:cs="Calibri"/>
          <w:kern w:val="0"/>
          <w:lang w:eastAsia="en-GB"/>
          <w14:ligatures w14:val="none"/>
        </w:rPr>
        <w:t xml:space="preserve">broken </w:t>
      </w:r>
      <w:r w:rsidR="0089232D" w:rsidRPr="003938FE">
        <w:rPr>
          <w:rFonts w:ascii="Calibri" w:eastAsia="Times New Roman" w:hAnsi="Calibri" w:cs="Calibri"/>
          <w:kern w:val="0"/>
          <w:lang w:eastAsia="en-GB"/>
          <w14:ligatures w14:val="none"/>
        </w:rPr>
        <w:t xml:space="preserve"> </w:t>
      </w:r>
      <w:r w:rsidRPr="003938FE">
        <w:rPr>
          <w:rFonts w:ascii="Calibri" w:eastAsia="Times New Roman" w:hAnsi="Calibri" w:cs="Calibri"/>
          <w:kern w:val="0"/>
          <w:lang w:eastAsia="en-GB"/>
          <w14:ligatures w14:val="none"/>
        </w:rPr>
        <w:t>down by:</w:t>
      </w:r>
    </w:p>
    <w:p w14:paraId="7942DED7" w14:textId="77777777" w:rsidR="00883FE2" w:rsidRPr="00D85804" w:rsidRDefault="00883FE2" w:rsidP="003938FE">
      <w:pPr>
        <w:pStyle w:val="ListParagraph"/>
        <w:numPr>
          <w:ilvl w:val="0"/>
          <w:numId w:val="29"/>
        </w:numPr>
        <w:spacing w:after="0"/>
        <w:jc w:val="both"/>
        <w:rPr>
          <w:rFonts w:ascii="Calibri" w:eastAsia="Times New Roman" w:hAnsi="Calibri" w:cs="Calibri"/>
          <w:kern w:val="0"/>
          <w:lang w:eastAsia="en-GB"/>
          <w14:ligatures w14:val="none"/>
        </w:rPr>
      </w:pPr>
      <w:r w:rsidRPr="00D85804">
        <w:rPr>
          <w:rFonts w:ascii="Calibri" w:eastAsia="Times New Roman" w:hAnsi="Calibri" w:cs="Calibri"/>
          <w:kern w:val="0"/>
          <w:lang w:eastAsia="en-GB"/>
          <w14:ligatures w14:val="none"/>
        </w:rPr>
        <w:t>Gender</w:t>
      </w:r>
    </w:p>
    <w:p w14:paraId="156BC968" w14:textId="77777777" w:rsidR="00883FE2" w:rsidRPr="00D85804" w:rsidRDefault="00883FE2" w:rsidP="003938FE">
      <w:pPr>
        <w:pStyle w:val="ListParagraph"/>
        <w:numPr>
          <w:ilvl w:val="0"/>
          <w:numId w:val="29"/>
        </w:numPr>
        <w:spacing w:after="0"/>
        <w:jc w:val="both"/>
        <w:rPr>
          <w:rFonts w:ascii="Calibri" w:eastAsia="Times New Roman" w:hAnsi="Calibri" w:cs="Calibri"/>
          <w:kern w:val="0"/>
          <w:lang w:eastAsia="en-GB"/>
          <w14:ligatures w14:val="none"/>
        </w:rPr>
      </w:pPr>
      <w:r w:rsidRPr="00D85804">
        <w:rPr>
          <w:rFonts w:ascii="Calibri" w:eastAsia="Times New Roman" w:hAnsi="Calibri" w:cs="Calibri"/>
          <w:kern w:val="0"/>
          <w:lang w:eastAsia="en-GB"/>
          <w14:ligatures w14:val="none"/>
        </w:rPr>
        <w:t>Ethnicity</w:t>
      </w:r>
    </w:p>
    <w:p w14:paraId="631A5273" w14:textId="77777777" w:rsidR="00883FE2" w:rsidRDefault="00883FE2" w:rsidP="003938FE">
      <w:pPr>
        <w:pStyle w:val="ListParagraph"/>
        <w:numPr>
          <w:ilvl w:val="0"/>
          <w:numId w:val="29"/>
        </w:numPr>
        <w:spacing w:after="0"/>
        <w:jc w:val="both"/>
        <w:rPr>
          <w:rFonts w:ascii="Calibri" w:eastAsia="Times New Roman" w:hAnsi="Calibri" w:cs="Calibri"/>
          <w:kern w:val="0"/>
          <w:lang w:eastAsia="en-GB"/>
          <w14:ligatures w14:val="none"/>
        </w:rPr>
      </w:pPr>
      <w:r w:rsidRPr="00D85804">
        <w:rPr>
          <w:rFonts w:ascii="Calibri" w:eastAsia="Times New Roman" w:hAnsi="Calibri" w:cs="Calibri"/>
          <w:kern w:val="0"/>
          <w:lang w:eastAsia="en-GB"/>
          <w14:ligatures w14:val="none"/>
        </w:rPr>
        <w:t>Disability status</w:t>
      </w:r>
    </w:p>
    <w:p w14:paraId="44A6B014" w14:textId="77777777" w:rsidR="003938FE" w:rsidRPr="00D85804" w:rsidRDefault="003938FE" w:rsidP="003938FE">
      <w:pPr>
        <w:pStyle w:val="ListParagraph"/>
        <w:spacing w:after="0"/>
        <w:ind w:left="550"/>
        <w:jc w:val="both"/>
        <w:rPr>
          <w:rFonts w:ascii="Calibri" w:eastAsia="Times New Roman" w:hAnsi="Calibri" w:cs="Calibri"/>
          <w:kern w:val="0"/>
          <w:lang w:eastAsia="en-GB"/>
          <w14:ligatures w14:val="none"/>
        </w:rPr>
      </w:pPr>
    </w:p>
    <w:p w14:paraId="03DA0469" w14:textId="37A34156" w:rsidR="00883FE2" w:rsidRDefault="00883FE2" w:rsidP="003938FE">
      <w:pPr>
        <w:pStyle w:val="ListParagraph"/>
        <w:numPr>
          <w:ilvl w:val="0"/>
          <w:numId w:val="28"/>
        </w:numPr>
        <w:spacing w:before="100" w:beforeAutospacing="1"/>
        <w:jc w:val="both"/>
        <w:rPr>
          <w:rFonts w:ascii="Calibri" w:eastAsia="Times New Roman" w:hAnsi="Calibri" w:cs="Calibri"/>
          <w:kern w:val="0"/>
          <w:lang w:eastAsia="en-GB"/>
          <w14:ligatures w14:val="none"/>
        </w:rPr>
      </w:pPr>
      <w:r w:rsidRPr="003938FE">
        <w:rPr>
          <w:rFonts w:ascii="Calibri" w:eastAsia="Times New Roman" w:hAnsi="Calibri" w:cs="Calibri"/>
          <w:kern w:val="0"/>
          <w:lang w:eastAsia="en-GB"/>
          <w14:ligatures w14:val="none"/>
        </w:rPr>
        <w:t>Quartile Pay Bands</w:t>
      </w:r>
      <w:r w:rsidR="000C251E" w:rsidRPr="003938FE">
        <w:rPr>
          <w:rFonts w:ascii="Calibri" w:eastAsia="Times New Roman" w:hAnsi="Calibri" w:cs="Calibri"/>
          <w:kern w:val="0"/>
          <w:lang w:eastAsia="en-GB"/>
          <w14:ligatures w14:val="none"/>
        </w:rPr>
        <w:t xml:space="preserve">: </w:t>
      </w:r>
      <w:r w:rsidRPr="003938FE">
        <w:rPr>
          <w:rFonts w:ascii="Calibri" w:eastAsia="Times New Roman" w:hAnsi="Calibri" w:cs="Calibri"/>
          <w:kern w:val="0"/>
          <w:lang w:eastAsia="en-GB"/>
          <w14:ligatures w14:val="none"/>
        </w:rPr>
        <w:t>The proportion of male and female employees</w:t>
      </w:r>
      <w:r w:rsidR="00675F8F" w:rsidRPr="003938FE">
        <w:rPr>
          <w:rFonts w:ascii="Calibri" w:eastAsia="Times New Roman" w:hAnsi="Calibri" w:cs="Calibri"/>
          <w:kern w:val="0"/>
          <w:lang w:eastAsia="en-GB"/>
          <w14:ligatures w14:val="none"/>
        </w:rPr>
        <w:t xml:space="preserve">, </w:t>
      </w:r>
      <w:r w:rsidRPr="003938FE">
        <w:rPr>
          <w:rFonts w:ascii="Calibri" w:eastAsia="Times New Roman" w:hAnsi="Calibri" w:cs="Calibri"/>
          <w:kern w:val="0"/>
          <w:lang w:eastAsia="en-GB"/>
          <w14:ligatures w14:val="none"/>
        </w:rPr>
        <w:t>employees from white and ethnic minority backgrounds</w:t>
      </w:r>
      <w:r w:rsidR="00675F8F" w:rsidRPr="003938FE">
        <w:rPr>
          <w:rFonts w:ascii="Calibri" w:eastAsia="Times New Roman" w:hAnsi="Calibri" w:cs="Calibri"/>
          <w:kern w:val="0"/>
          <w:lang w:eastAsia="en-GB"/>
          <w14:ligatures w14:val="none"/>
        </w:rPr>
        <w:t>, employees with a disability and non-disabled colleagues</w:t>
      </w:r>
      <w:r w:rsidRPr="003938FE">
        <w:rPr>
          <w:rFonts w:ascii="Calibri" w:eastAsia="Times New Roman" w:hAnsi="Calibri" w:cs="Calibri"/>
          <w:kern w:val="0"/>
          <w:lang w:eastAsia="en-GB"/>
          <w14:ligatures w14:val="none"/>
        </w:rPr>
        <w:t xml:space="preserve"> in each pay quartile (lower, lower-middle, upper-middle, and upper).</w:t>
      </w:r>
    </w:p>
    <w:p w14:paraId="1C90DA38" w14:textId="77777777" w:rsidR="003938FE" w:rsidRPr="003938FE" w:rsidRDefault="003938FE" w:rsidP="003938FE">
      <w:pPr>
        <w:pStyle w:val="ListParagraph"/>
        <w:spacing w:before="100" w:beforeAutospacing="1"/>
        <w:ind w:left="550"/>
        <w:jc w:val="both"/>
        <w:rPr>
          <w:rFonts w:ascii="Calibri" w:eastAsia="Times New Roman" w:hAnsi="Calibri" w:cs="Calibri"/>
          <w:kern w:val="0"/>
          <w:lang w:eastAsia="en-GB"/>
          <w14:ligatures w14:val="none"/>
        </w:rPr>
      </w:pPr>
    </w:p>
    <w:p w14:paraId="68216B68" w14:textId="71EA3601" w:rsidR="00BF26AA" w:rsidRPr="00BF26AA" w:rsidRDefault="00883FE2" w:rsidP="00BF26AA">
      <w:pPr>
        <w:pStyle w:val="ListParagraph"/>
        <w:numPr>
          <w:ilvl w:val="0"/>
          <w:numId w:val="28"/>
        </w:numPr>
        <w:spacing w:after="0"/>
        <w:jc w:val="both"/>
        <w:rPr>
          <w:rFonts w:ascii="Calibri" w:eastAsia="Times New Roman" w:hAnsi="Calibri" w:cs="Calibri"/>
          <w:kern w:val="0"/>
          <w:lang w:eastAsia="en-GB"/>
          <w14:ligatures w14:val="none"/>
        </w:rPr>
      </w:pPr>
      <w:r w:rsidRPr="002D02E1">
        <w:rPr>
          <w:rFonts w:ascii="Calibri" w:eastAsia="Times New Roman" w:hAnsi="Calibri" w:cs="Calibri"/>
          <w:kern w:val="0"/>
          <w:lang w:eastAsia="en-GB"/>
          <w14:ligatures w14:val="none"/>
        </w:rPr>
        <w:t xml:space="preserve">Median Bonus </w:t>
      </w:r>
      <w:r w:rsidR="00BF26AA" w:rsidRPr="002D02E1">
        <w:rPr>
          <w:rFonts w:ascii="Calibri" w:eastAsia="Times New Roman" w:hAnsi="Calibri" w:cs="Calibri"/>
          <w:kern w:val="0"/>
          <w:lang w:eastAsia="en-GB"/>
          <w14:ligatures w14:val="none"/>
        </w:rPr>
        <w:t>Gap</w:t>
      </w:r>
      <w:r w:rsidR="00BF26AA">
        <w:rPr>
          <w:rStyle w:val="CommentReference"/>
          <w:rFonts w:ascii="Calibri" w:hAnsi="Calibri" w:cs="Calibri"/>
        </w:rPr>
        <w:t xml:space="preserve">: </w:t>
      </w:r>
      <w:r w:rsidR="00BF26AA" w:rsidRPr="002D02E1">
        <w:rPr>
          <w:rFonts w:ascii="Calibri" w:hAnsi="Calibri" w:cs="Calibri"/>
        </w:rPr>
        <w:t>The</w:t>
      </w:r>
      <w:r w:rsidR="002D02E1" w:rsidRPr="002D02E1">
        <w:rPr>
          <w:rFonts w:ascii="Calibri" w:hAnsi="Calibri" w:cs="Calibri"/>
        </w:rPr>
        <w:t xml:space="preserve"> </w:t>
      </w:r>
      <w:r w:rsidR="002D02E1" w:rsidRPr="002D02E1">
        <w:rPr>
          <w:rStyle w:val="Strong"/>
          <w:rFonts w:ascii="Calibri" w:hAnsi="Calibri" w:cs="Calibri"/>
          <w:b w:val="0"/>
          <w:bCs w:val="0"/>
        </w:rPr>
        <w:t>median bonus pay</w:t>
      </w:r>
      <w:r w:rsidR="00BF26AA">
        <w:rPr>
          <w:rFonts w:ascii="Calibri" w:hAnsi="Calibri" w:cs="Calibri"/>
        </w:rPr>
        <w:t xml:space="preserve"> </w:t>
      </w:r>
      <w:r w:rsidR="002D02E1" w:rsidRPr="002D02E1">
        <w:rPr>
          <w:rFonts w:ascii="Calibri" w:hAnsi="Calibri" w:cs="Calibri"/>
        </w:rPr>
        <w:t>represents the middle value of all bonus payments made to employees during the reporting period, when arranged from lowest to highest. It shows the typical difference in bonus earnings between men and women.</w:t>
      </w:r>
    </w:p>
    <w:p w14:paraId="514E2770" w14:textId="77777777" w:rsidR="00BF26AA" w:rsidRPr="00BF26AA" w:rsidRDefault="00BF26AA" w:rsidP="00BF26AA">
      <w:pPr>
        <w:spacing w:after="0"/>
        <w:ind w:left="0"/>
        <w:jc w:val="both"/>
        <w:rPr>
          <w:rFonts w:ascii="Calibri" w:eastAsia="Times New Roman" w:hAnsi="Calibri" w:cs="Calibri"/>
          <w:kern w:val="0"/>
          <w:lang w:eastAsia="en-GB"/>
          <w14:ligatures w14:val="none"/>
        </w:rPr>
      </w:pPr>
    </w:p>
    <w:p w14:paraId="5B996D6F" w14:textId="77777777" w:rsidR="00394EC9" w:rsidRPr="00394EC9" w:rsidRDefault="00883FE2" w:rsidP="00FB4EC5">
      <w:pPr>
        <w:pStyle w:val="ListParagraph"/>
        <w:numPr>
          <w:ilvl w:val="0"/>
          <w:numId w:val="28"/>
        </w:numPr>
        <w:spacing w:after="0"/>
        <w:jc w:val="both"/>
        <w:rPr>
          <w:rFonts w:ascii="Calibri" w:eastAsia="Times New Roman" w:hAnsi="Calibri" w:cs="Calibri"/>
          <w:kern w:val="0"/>
          <w:lang w:eastAsia="en-GB"/>
          <w14:ligatures w14:val="none"/>
        </w:rPr>
      </w:pPr>
      <w:r w:rsidRPr="00BF26AA">
        <w:rPr>
          <w:rFonts w:ascii="Calibri" w:eastAsia="Times New Roman" w:hAnsi="Calibri" w:cs="Calibri"/>
          <w:kern w:val="0"/>
          <w:lang w:eastAsia="en-GB"/>
          <w14:ligatures w14:val="none"/>
        </w:rPr>
        <w:t>Mean Bonus Gap</w:t>
      </w:r>
      <w:r w:rsidR="002D02E1" w:rsidRPr="00BF26AA">
        <w:rPr>
          <w:rFonts w:ascii="Calibri" w:eastAsia="Times New Roman" w:hAnsi="Calibri" w:cs="Calibri"/>
          <w:kern w:val="0"/>
          <w:lang w:eastAsia="en-GB"/>
          <w14:ligatures w14:val="none"/>
        </w:rPr>
        <w:t xml:space="preserve">: </w:t>
      </w:r>
      <w:r w:rsidR="002D02E1" w:rsidRPr="00BF26AA">
        <w:rPr>
          <w:rFonts w:ascii="Calibri" w:hAnsi="Calibri" w:cs="Calibri"/>
        </w:rPr>
        <w:t xml:space="preserve">The </w:t>
      </w:r>
      <w:r w:rsidR="002D02E1" w:rsidRPr="00BF26AA">
        <w:rPr>
          <w:rStyle w:val="Strong"/>
          <w:rFonts w:ascii="Calibri" w:eastAsiaTheme="majorEastAsia" w:hAnsi="Calibri" w:cs="Calibri"/>
          <w:b w:val="0"/>
          <w:bCs w:val="0"/>
        </w:rPr>
        <w:t>mean bonus pay gap</w:t>
      </w:r>
      <w:r w:rsidR="002D02E1" w:rsidRPr="00BF26AA">
        <w:rPr>
          <w:rFonts w:ascii="Calibri" w:hAnsi="Calibri" w:cs="Calibri"/>
        </w:rPr>
        <w:t xml:space="preserve"> shows the difference between the </w:t>
      </w:r>
      <w:r w:rsidR="002D02E1" w:rsidRPr="00BF26AA">
        <w:rPr>
          <w:rStyle w:val="Strong"/>
          <w:rFonts w:ascii="Calibri" w:eastAsiaTheme="majorEastAsia" w:hAnsi="Calibri" w:cs="Calibri"/>
          <w:b w:val="0"/>
          <w:bCs w:val="0"/>
        </w:rPr>
        <w:t>average</w:t>
      </w:r>
      <w:r w:rsidR="002D02E1" w:rsidRPr="00BF26AA">
        <w:rPr>
          <w:rFonts w:ascii="Calibri" w:hAnsi="Calibri" w:cs="Calibri"/>
        </w:rPr>
        <w:t xml:space="preserve"> bonus payments received by men and women during the reporting period. </w:t>
      </w:r>
    </w:p>
    <w:p w14:paraId="28082580" w14:textId="77777777" w:rsidR="00394EC9" w:rsidRPr="00394EC9" w:rsidRDefault="00394EC9" w:rsidP="00394EC9">
      <w:pPr>
        <w:pStyle w:val="ListParagraph"/>
        <w:rPr>
          <w:rFonts w:ascii="Calibri" w:hAnsi="Calibri" w:cs="Calibri"/>
        </w:rPr>
      </w:pPr>
    </w:p>
    <w:p w14:paraId="1441D2CB" w14:textId="4941762F" w:rsidR="00BF26AA" w:rsidRDefault="002D02E1" w:rsidP="00394EC9">
      <w:pPr>
        <w:pStyle w:val="ListParagraph"/>
        <w:spacing w:after="0"/>
        <w:ind w:left="550"/>
        <w:jc w:val="both"/>
        <w:rPr>
          <w:rFonts w:ascii="Calibri" w:hAnsi="Calibri" w:cs="Calibri"/>
        </w:rPr>
      </w:pPr>
      <w:r w:rsidRPr="00394EC9">
        <w:rPr>
          <w:rFonts w:ascii="Calibri" w:hAnsi="Calibri" w:cs="Calibri"/>
        </w:rPr>
        <w:lastRenderedPageBreak/>
        <w:t>It is calculated by comparing the mean (average) bonus pay for all male employees with the mean bonus pay for all female employees.</w:t>
      </w:r>
    </w:p>
    <w:p w14:paraId="0A6EFF20" w14:textId="77777777" w:rsidR="00394EC9" w:rsidRPr="00394EC9" w:rsidRDefault="00394EC9" w:rsidP="00394EC9">
      <w:pPr>
        <w:pStyle w:val="ListParagraph"/>
        <w:spacing w:after="0"/>
        <w:ind w:left="550"/>
        <w:jc w:val="both"/>
        <w:rPr>
          <w:rFonts w:ascii="Calibri" w:eastAsia="Times New Roman" w:hAnsi="Calibri" w:cs="Calibri"/>
          <w:kern w:val="0"/>
          <w:lang w:eastAsia="en-GB"/>
          <w14:ligatures w14:val="none"/>
        </w:rPr>
      </w:pPr>
    </w:p>
    <w:p w14:paraId="0FF09EB4" w14:textId="5F3E1B81" w:rsidR="00D85804" w:rsidRDefault="00826D1B" w:rsidP="003938FE">
      <w:pPr>
        <w:spacing w:after="0"/>
        <w:ind w:left="-737"/>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D85804">
        <w:rPr>
          <w:rFonts w:ascii="Calibri" w:eastAsia="Times New Roman" w:hAnsi="Calibri" w:cs="Calibri"/>
          <w:kern w:val="0"/>
          <w:lang w:eastAsia="en-GB"/>
          <w14:ligatures w14:val="none"/>
        </w:rPr>
        <w:t xml:space="preserve"> </w:t>
      </w:r>
      <w:r w:rsidR="003775D6">
        <w:rPr>
          <w:rFonts w:ascii="Calibri" w:eastAsia="Times New Roman" w:hAnsi="Calibri" w:cs="Calibri"/>
          <w:kern w:val="0"/>
          <w:lang w:eastAsia="en-GB"/>
          <w14:ligatures w14:val="none"/>
        </w:rPr>
        <w:t xml:space="preserve"> </w:t>
      </w:r>
      <w:r w:rsidR="008D527B">
        <w:rPr>
          <w:rFonts w:ascii="Calibri" w:eastAsia="Times New Roman" w:hAnsi="Calibri" w:cs="Calibri"/>
          <w:kern w:val="0"/>
          <w:lang w:eastAsia="en-GB"/>
          <w14:ligatures w14:val="none"/>
        </w:rPr>
        <w:t xml:space="preserve"> </w:t>
      </w:r>
      <w:r w:rsidR="00BF26AA">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 </w:t>
      </w:r>
      <w:r w:rsidR="00BF26AA">
        <w:rPr>
          <w:rFonts w:ascii="Calibri" w:eastAsia="Times New Roman" w:hAnsi="Calibri" w:cs="Calibri"/>
          <w:kern w:val="0"/>
          <w:lang w:eastAsia="en-GB"/>
          <w14:ligatures w14:val="none"/>
        </w:rPr>
        <w:t xml:space="preserve">    2</w:t>
      </w:r>
      <w:r>
        <w:rPr>
          <w:rFonts w:ascii="Calibri" w:eastAsia="Times New Roman" w:hAnsi="Calibri" w:cs="Calibri"/>
          <w:kern w:val="0"/>
          <w:lang w:eastAsia="en-GB"/>
          <w14:ligatures w14:val="none"/>
        </w:rPr>
        <w:t xml:space="preserve">.4  </w:t>
      </w:r>
      <w:r w:rsidR="00394EC9">
        <w:rPr>
          <w:rFonts w:ascii="Calibri" w:eastAsia="Times New Roman" w:hAnsi="Calibri" w:cs="Calibri"/>
          <w:kern w:val="0"/>
          <w:lang w:eastAsia="en-GB"/>
          <w14:ligatures w14:val="none"/>
        </w:rPr>
        <w:t xml:space="preserve"> </w:t>
      </w:r>
      <w:r w:rsidRPr="00883FE2">
        <w:rPr>
          <w:rFonts w:ascii="Calibri" w:eastAsia="Times New Roman" w:hAnsi="Calibri" w:cs="Calibri"/>
          <w:kern w:val="0"/>
          <w:lang w:eastAsia="en-GB"/>
          <w14:ligatures w14:val="none"/>
        </w:rPr>
        <w:t xml:space="preserve">As an NHS not-for-profit organisation, </w:t>
      </w:r>
      <w:r>
        <w:rPr>
          <w:rFonts w:ascii="Calibri" w:eastAsia="Times New Roman" w:hAnsi="Calibri" w:cs="Calibri"/>
          <w:kern w:val="0"/>
          <w:lang w:eastAsia="en-GB"/>
          <w14:ligatures w14:val="none"/>
        </w:rPr>
        <w:t xml:space="preserve"> </w:t>
      </w:r>
      <w:r w:rsidRPr="00883FE2">
        <w:rPr>
          <w:rFonts w:ascii="Calibri" w:eastAsia="Times New Roman" w:hAnsi="Calibri" w:cs="Calibri"/>
          <w:kern w:val="0"/>
          <w:lang w:eastAsia="en-GB"/>
          <w14:ligatures w14:val="none"/>
        </w:rPr>
        <w:t xml:space="preserve">we do not operate a standard bonus scheme. </w:t>
      </w:r>
      <w:r>
        <w:rPr>
          <w:rFonts w:ascii="Calibri" w:eastAsia="Times New Roman" w:hAnsi="Calibri" w:cs="Calibri"/>
          <w:kern w:val="0"/>
          <w:lang w:eastAsia="en-GB"/>
          <w14:ligatures w14:val="none"/>
        </w:rPr>
        <w:t xml:space="preserve">      </w:t>
      </w:r>
      <w:r w:rsidR="00D85804">
        <w:rPr>
          <w:rFonts w:ascii="Calibri" w:eastAsia="Times New Roman" w:hAnsi="Calibri" w:cs="Calibri"/>
          <w:kern w:val="0"/>
          <w:lang w:eastAsia="en-GB"/>
          <w14:ligatures w14:val="none"/>
        </w:rPr>
        <w:t xml:space="preserve">        </w:t>
      </w:r>
    </w:p>
    <w:p w14:paraId="78B0E7DE" w14:textId="6CB21C7F" w:rsidR="002D02E1" w:rsidRDefault="00D85804" w:rsidP="003938FE">
      <w:pPr>
        <w:spacing w:after="0"/>
        <w:ind w:left="-737"/>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9966B5">
        <w:rPr>
          <w:rFonts w:ascii="Calibri" w:eastAsia="Times New Roman" w:hAnsi="Calibri" w:cs="Calibri"/>
          <w:kern w:val="0"/>
          <w:lang w:eastAsia="en-GB"/>
          <w14:ligatures w14:val="none"/>
        </w:rPr>
        <w:t xml:space="preserve"> </w:t>
      </w:r>
      <w:r w:rsidR="00355D1E">
        <w:rPr>
          <w:rFonts w:ascii="Calibri" w:eastAsia="Times New Roman" w:hAnsi="Calibri" w:cs="Calibri"/>
          <w:kern w:val="0"/>
          <w:lang w:eastAsia="en-GB"/>
          <w14:ligatures w14:val="none"/>
        </w:rPr>
        <w:t xml:space="preserve"> </w:t>
      </w:r>
      <w:r w:rsidR="008D527B">
        <w:rPr>
          <w:rFonts w:ascii="Calibri" w:eastAsia="Times New Roman" w:hAnsi="Calibri" w:cs="Calibri"/>
          <w:kern w:val="0"/>
          <w:lang w:eastAsia="en-GB"/>
          <w14:ligatures w14:val="none"/>
        </w:rPr>
        <w:t xml:space="preserve"> </w:t>
      </w:r>
      <w:r w:rsidR="003938FE">
        <w:rPr>
          <w:rFonts w:ascii="Calibri" w:eastAsia="Times New Roman" w:hAnsi="Calibri" w:cs="Calibri"/>
          <w:kern w:val="0"/>
          <w:lang w:eastAsia="en-GB"/>
          <w14:ligatures w14:val="none"/>
        </w:rPr>
        <w:t xml:space="preserve"> </w:t>
      </w:r>
      <w:r w:rsidR="002D02E1">
        <w:rPr>
          <w:rFonts w:ascii="Calibri" w:eastAsia="Times New Roman" w:hAnsi="Calibri" w:cs="Calibri"/>
          <w:kern w:val="0"/>
          <w:lang w:eastAsia="en-GB"/>
          <w14:ligatures w14:val="none"/>
        </w:rPr>
        <w:t xml:space="preserve">    </w:t>
      </w:r>
      <w:r w:rsidR="00394EC9">
        <w:rPr>
          <w:rFonts w:ascii="Calibri" w:eastAsia="Times New Roman" w:hAnsi="Calibri" w:cs="Calibri"/>
          <w:kern w:val="0"/>
          <w:lang w:eastAsia="en-GB"/>
          <w14:ligatures w14:val="none"/>
        </w:rPr>
        <w:t xml:space="preserve"> </w:t>
      </w:r>
      <w:r w:rsidR="00826D1B" w:rsidRPr="00883FE2">
        <w:rPr>
          <w:rFonts w:ascii="Calibri" w:eastAsia="Times New Roman" w:hAnsi="Calibri" w:cs="Calibri"/>
          <w:kern w:val="0"/>
          <w:lang w:eastAsia="en-GB"/>
          <w14:ligatures w14:val="none"/>
        </w:rPr>
        <w:t xml:space="preserve">However, some clinical staff (e.g. consultants) may </w:t>
      </w:r>
      <w:r w:rsidR="00E011BF">
        <w:rPr>
          <w:rFonts w:ascii="Calibri" w:eastAsia="Times New Roman" w:hAnsi="Calibri" w:cs="Calibri"/>
          <w:kern w:val="0"/>
          <w:lang w:eastAsia="en-GB"/>
          <w14:ligatures w14:val="none"/>
        </w:rPr>
        <w:t>be in receipt of</w:t>
      </w:r>
      <w:r w:rsidR="00826D1B" w:rsidRPr="00883FE2">
        <w:rPr>
          <w:rFonts w:ascii="Calibri" w:eastAsia="Times New Roman" w:hAnsi="Calibri" w:cs="Calibri"/>
          <w:kern w:val="0"/>
          <w:lang w:eastAsia="en-GB"/>
          <w14:ligatures w14:val="none"/>
        </w:rPr>
        <w:t xml:space="preserve"> Local Clinical </w:t>
      </w:r>
    </w:p>
    <w:p w14:paraId="6D2D9DB5" w14:textId="07FC1EEA" w:rsidR="00BF26AA" w:rsidRDefault="002D02E1" w:rsidP="002D02E1">
      <w:pPr>
        <w:spacing w:after="0"/>
        <w:ind w:left="-737"/>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BF26AA">
        <w:rPr>
          <w:rFonts w:ascii="Calibri" w:eastAsia="Times New Roman" w:hAnsi="Calibri" w:cs="Calibri"/>
          <w:kern w:val="0"/>
          <w:lang w:eastAsia="en-GB"/>
          <w14:ligatures w14:val="none"/>
        </w:rPr>
        <w:t xml:space="preserve">   </w:t>
      </w:r>
      <w:r w:rsidR="00394EC9">
        <w:rPr>
          <w:rFonts w:ascii="Calibri" w:eastAsia="Times New Roman" w:hAnsi="Calibri" w:cs="Calibri"/>
          <w:kern w:val="0"/>
          <w:lang w:eastAsia="en-GB"/>
          <w14:ligatures w14:val="none"/>
        </w:rPr>
        <w:t xml:space="preserve"> </w:t>
      </w:r>
      <w:r w:rsidR="00826D1B" w:rsidRPr="00883FE2">
        <w:rPr>
          <w:rFonts w:ascii="Calibri" w:eastAsia="Times New Roman" w:hAnsi="Calibri" w:cs="Calibri"/>
          <w:kern w:val="0"/>
          <w:lang w:eastAsia="en-GB"/>
          <w14:ligatures w14:val="none"/>
        </w:rPr>
        <w:t>Excellence</w:t>
      </w:r>
      <w:r>
        <w:rPr>
          <w:rFonts w:ascii="Calibri" w:eastAsia="Times New Roman" w:hAnsi="Calibri" w:cs="Calibri"/>
          <w:kern w:val="0"/>
          <w:lang w:eastAsia="en-GB"/>
          <w14:ligatures w14:val="none"/>
        </w:rPr>
        <w:t xml:space="preserve"> Awards, which are the only form of bonus payments considered in this </w:t>
      </w:r>
    </w:p>
    <w:p w14:paraId="7D86A0EC" w14:textId="6E3AA456" w:rsidR="008D527B" w:rsidRDefault="00BF26AA" w:rsidP="00BF26AA">
      <w:pPr>
        <w:spacing w:after="0"/>
        <w:ind w:left="-737"/>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00394EC9">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 </w:t>
      </w:r>
      <w:r w:rsidR="002D02E1">
        <w:rPr>
          <w:rFonts w:ascii="Calibri" w:eastAsia="Times New Roman" w:hAnsi="Calibri" w:cs="Calibri"/>
          <w:kern w:val="0"/>
          <w:lang w:eastAsia="en-GB"/>
          <w14:ligatures w14:val="none"/>
        </w:rPr>
        <w:t>analysis.</w:t>
      </w:r>
      <w:bookmarkEnd w:id="0"/>
    </w:p>
    <w:p w14:paraId="1AAB2B60" w14:textId="77777777" w:rsidR="00BF26AA" w:rsidRPr="00BF26AA" w:rsidRDefault="00BF26AA" w:rsidP="00BF26AA">
      <w:pPr>
        <w:spacing w:after="0"/>
        <w:ind w:left="-737"/>
        <w:jc w:val="both"/>
        <w:rPr>
          <w:rFonts w:ascii="Calibri" w:eastAsia="Times New Roman" w:hAnsi="Calibri" w:cs="Calibri"/>
          <w:kern w:val="0"/>
          <w:lang w:eastAsia="en-GB"/>
          <w14:ligatures w14:val="none"/>
        </w:rPr>
      </w:pPr>
    </w:p>
    <w:p w14:paraId="4E496C2D" w14:textId="4F2747CD" w:rsidR="008D527B" w:rsidRPr="00555836" w:rsidRDefault="008D527B" w:rsidP="00394EC9">
      <w:pPr>
        <w:pStyle w:val="Heading2"/>
      </w:pPr>
      <w:r w:rsidRPr="00555836">
        <w:t xml:space="preserve">3.0  </w:t>
      </w:r>
      <w:r w:rsidR="00555836" w:rsidRPr="00555836">
        <w:t>Gender Pay Gap Analysis</w:t>
      </w:r>
    </w:p>
    <w:p w14:paraId="6E26B8BA" w14:textId="56629CD8" w:rsidR="00555836" w:rsidRDefault="008D527B" w:rsidP="000F504B">
      <w:pPr>
        <w:suppressAutoHyphens/>
        <w:autoSpaceDN w:val="0"/>
        <w:spacing w:after="0"/>
        <w:ind w:left="0"/>
        <w:jc w:val="both"/>
        <w:rPr>
          <w:rFonts w:ascii="Calibri" w:hAnsi="Calibri" w:cs="Calibri"/>
        </w:rPr>
      </w:pPr>
      <w:r>
        <w:rPr>
          <w:rFonts w:ascii="Calibri" w:hAnsi="Calibri" w:cs="Calibri"/>
        </w:rPr>
        <w:t xml:space="preserve">3.1   </w:t>
      </w:r>
      <w:r w:rsidR="00555836" w:rsidRPr="008D527B">
        <w:rPr>
          <w:rFonts w:ascii="Calibri" w:hAnsi="Calibri" w:cs="Calibri"/>
        </w:rPr>
        <w:t xml:space="preserve">The report is based on the Government’s methodology for calculating the difference in </w:t>
      </w:r>
      <w:r w:rsidR="00555836">
        <w:rPr>
          <w:rFonts w:ascii="Calibri" w:hAnsi="Calibri" w:cs="Calibri"/>
        </w:rPr>
        <w:t xml:space="preserve">  </w:t>
      </w:r>
    </w:p>
    <w:p w14:paraId="3A8674E4" w14:textId="77777777" w:rsidR="001207B0" w:rsidRDefault="00555836" w:rsidP="000F504B">
      <w:pPr>
        <w:suppressAutoHyphens/>
        <w:autoSpaceDN w:val="0"/>
        <w:spacing w:after="0"/>
        <w:ind w:left="0"/>
        <w:jc w:val="both"/>
        <w:rPr>
          <w:rFonts w:ascii="Calibri" w:hAnsi="Calibri" w:cs="Calibri"/>
        </w:rPr>
      </w:pPr>
      <w:r>
        <w:rPr>
          <w:rFonts w:ascii="Calibri" w:hAnsi="Calibri" w:cs="Calibri"/>
        </w:rPr>
        <w:t xml:space="preserve">         </w:t>
      </w:r>
      <w:r w:rsidRPr="008D527B">
        <w:rPr>
          <w:rFonts w:ascii="Calibri" w:hAnsi="Calibri" w:cs="Calibri"/>
        </w:rPr>
        <w:t xml:space="preserve">pay between female and male employees, considering full-pay employees, </w:t>
      </w:r>
      <w:r w:rsidR="001207B0">
        <w:rPr>
          <w:rFonts w:ascii="Calibri" w:hAnsi="Calibri" w:cs="Calibri"/>
        </w:rPr>
        <w:t xml:space="preserve"> staff that are      </w:t>
      </w:r>
    </w:p>
    <w:p w14:paraId="42AF8021" w14:textId="34F0002E" w:rsidR="001207B0" w:rsidRDefault="001207B0" w:rsidP="000F504B">
      <w:pPr>
        <w:suppressAutoHyphens/>
        <w:autoSpaceDN w:val="0"/>
        <w:spacing w:after="0"/>
        <w:ind w:left="0"/>
        <w:jc w:val="both"/>
        <w:rPr>
          <w:rFonts w:ascii="Calibri" w:hAnsi="Calibri" w:cs="Calibri"/>
        </w:rPr>
      </w:pPr>
      <w:r>
        <w:rPr>
          <w:rFonts w:ascii="Calibri" w:hAnsi="Calibri" w:cs="Calibri"/>
        </w:rPr>
        <w:t xml:space="preserve">         not on Agenda for Change terms and conditions, e.g. Your Health Partnership staff, and </w:t>
      </w:r>
    </w:p>
    <w:p w14:paraId="18CE3993" w14:textId="036F2BBD" w:rsidR="001207B0" w:rsidRDefault="001207B0" w:rsidP="000F504B">
      <w:pPr>
        <w:suppressAutoHyphens/>
        <w:autoSpaceDN w:val="0"/>
        <w:spacing w:after="0"/>
        <w:ind w:left="0"/>
        <w:jc w:val="both"/>
        <w:rPr>
          <w:rFonts w:ascii="Calibri" w:hAnsi="Calibri" w:cs="Calibri"/>
        </w:rPr>
      </w:pPr>
      <w:r>
        <w:rPr>
          <w:rFonts w:ascii="Calibri" w:hAnsi="Calibri" w:cs="Calibri"/>
        </w:rPr>
        <w:t xml:space="preserve">         Medical and Dental Staff, and also </w:t>
      </w:r>
      <w:r w:rsidR="00555836" w:rsidRPr="008D527B">
        <w:rPr>
          <w:rFonts w:ascii="Calibri" w:hAnsi="Calibri" w:cs="Calibri"/>
        </w:rPr>
        <w:t xml:space="preserve">includes bank staff working at Sandwell and West </w:t>
      </w:r>
    </w:p>
    <w:p w14:paraId="647B9754" w14:textId="1C78B889" w:rsidR="00555836" w:rsidRDefault="001207B0" w:rsidP="000F504B">
      <w:pPr>
        <w:suppressAutoHyphens/>
        <w:autoSpaceDN w:val="0"/>
        <w:spacing w:after="0"/>
        <w:ind w:left="0"/>
        <w:jc w:val="both"/>
        <w:rPr>
          <w:rFonts w:ascii="Calibri" w:hAnsi="Calibri" w:cs="Calibri"/>
        </w:rPr>
      </w:pPr>
      <w:r>
        <w:rPr>
          <w:rFonts w:ascii="Calibri" w:hAnsi="Calibri" w:cs="Calibri"/>
        </w:rPr>
        <w:t xml:space="preserve">         </w:t>
      </w:r>
      <w:r w:rsidR="00555836" w:rsidRPr="008D527B">
        <w:rPr>
          <w:rFonts w:ascii="Calibri" w:hAnsi="Calibri" w:cs="Calibri"/>
        </w:rPr>
        <w:t>Birmingham NHS Trust</w:t>
      </w:r>
      <w:r w:rsidR="00555836">
        <w:rPr>
          <w:rFonts w:ascii="Calibri" w:hAnsi="Calibri" w:cs="Calibri"/>
        </w:rPr>
        <w:t>.</w:t>
      </w:r>
    </w:p>
    <w:p w14:paraId="26003DD1" w14:textId="77777777" w:rsidR="00555836" w:rsidRDefault="00555836" w:rsidP="000F504B">
      <w:pPr>
        <w:suppressAutoHyphens/>
        <w:autoSpaceDN w:val="0"/>
        <w:spacing w:after="0"/>
        <w:ind w:left="0"/>
        <w:jc w:val="both"/>
        <w:rPr>
          <w:rFonts w:ascii="Calibri" w:hAnsi="Calibri" w:cs="Calibri"/>
        </w:rPr>
      </w:pPr>
    </w:p>
    <w:p w14:paraId="52F53112" w14:textId="2362A202" w:rsidR="00555836" w:rsidRDefault="008D527B" w:rsidP="000F504B">
      <w:pPr>
        <w:suppressAutoHyphens/>
        <w:autoSpaceDN w:val="0"/>
        <w:spacing w:after="0"/>
        <w:ind w:left="0"/>
        <w:jc w:val="both"/>
        <w:rPr>
          <w:rFonts w:ascii="Calibri" w:hAnsi="Calibri" w:cs="Calibri"/>
        </w:rPr>
      </w:pPr>
      <w:r>
        <w:rPr>
          <w:rFonts w:ascii="Calibri" w:hAnsi="Calibri" w:cs="Calibri"/>
        </w:rPr>
        <w:t>3.2</w:t>
      </w:r>
      <w:r w:rsidR="00555836">
        <w:rPr>
          <w:rFonts w:ascii="Calibri" w:hAnsi="Calibri" w:cs="Calibri"/>
        </w:rPr>
        <w:t xml:space="preserve">   </w:t>
      </w:r>
      <w:r w:rsidR="001207B0">
        <w:rPr>
          <w:rFonts w:ascii="Calibri" w:hAnsi="Calibri" w:cs="Calibri"/>
        </w:rPr>
        <w:t xml:space="preserve"> </w:t>
      </w:r>
      <w:r w:rsidR="00555836">
        <w:rPr>
          <w:rFonts w:ascii="Calibri" w:hAnsi="Calibri" w:cs="Calibri"/>
        </w:rPr>
        <w:t xml:space="preserve">In Sandwell, 49.0% of the population </w:t>
      </w:r>
      <w:r w:rsidR="00545CAF">
        <w:rPr>
          <w:rFonts w:ascii="Calibri" w:hAnsi="Calibri" w:cs="Calibri"/>
        </w:rPr>
        <w:t>is</w:t>
      </w:r>
      <w:r w:rsidR="00555836">
        <w:rPr>
          <w:rFonts w:ascii="Calibri" w:hAnsi="Calibri" w:cs="Calibri"/>
        </w:rPr>
        <w:t xml:space="preserve"> male and 50.4% </w:t>
      </w:r>
      <w:r w:rsidR="00545CAF">
        <w:rPr>
          <w:rFonts w:ascii="Calibri" w:hAnsi="Calibri" w:cs="Calibri"/>
        </w:rPr>
        <w:t>is</w:t>
      </w:r>
      <w:r w:rsidR="00555836">
        <w:rPr>
          <w:rFonts w:ascii="Calibri" w:hAnsi="Calibri" w:cs="Calibri"/>
        </w:rPr>
        <w:t xml:space="preserve"> female. This is similar to    </w:t>
      </w:r>
    </w:p>
    <w:p w14:paraId="7206CD76" w14:textId="5FA6B5FD" w:rsidR="00545CAF" w:rsidRDefault="00555836" w:rsidP="000F504B">
      <w:pPr>
        <w:suppressAutoHyphens/>
        <w:autoSpaceDN w:val="0"/>
        <w:spacing w:after="0"/>
        <w:ind w:left="0"/>
        <w:jc w:val="both"/>
        <w:rPr>
          <w:rFonts w:ascii="Calibri" w:hAnsi="Calibri" w:cs="Calibri"/>
        </w:rPr>
      </w:pPr>
      <w:r>
        <w:rPr>
          <w:rFonts w:ascii="Calibri" w:hAnsi="Calibri" w:cs="Calibri"/>
        </w:rPr>
        <w:t xml:space="preserve">       </w:t>
      </w:r>
      <w:r w:rsidR="00545CAF">
        <w:rPr>
          <w:rFonts w:ascii="Calibri" w:hAnsi="Calibri" w:cs="Calibri"/>
        </w:rPr>
        <w:t xml:space="preserve"> </w:t>
      </w:r>
      <w:r>
        <w:rPr>
          <w:rFonts w:ascii="Calibri" w:hAnsi="Calibri" w:cs="Calibri"/>
        </w:rPr>
        <w:t xml:space="preserve"> the percentage of males and females in the Black Country region</w:t>
      </w:r>
      <w:r w:rsidR="00545CAF">
        <w:rPr>
          <w:rFonts w:ascii="Calibri" w:hAnsi="Calibri" w:cs="Calibri"/>
        </w:rPr>
        <w:t>,</w:t>
      </w:r>
      <w:r>
        <w:rPr>
          <w:rFonts w:ascii="Calibri" w:hAnsi="Calibri" w:cs="Calibri"/>
        </w:rPr>
        <w:t xml:space="preserve"> which currently </w:t>
      </w:r>
      <w:r w:rsidR="00545CAF">
        <w:rPr>
          <w:rFonts w:ascii="Calibri" w:hAnsi="Calibri" w:cs="Calibri"/>
        </w:rPr>
        <w:t xml:space="preserve"> </w:t>
      </w:r>
    </w:p>
    <w:p w14:paraId="6E1A35E6" w14:textId="342DE493" w:rsidR="008D527B" w:rsidRDefault="00545CAF" w:rsidP="000F504B">
      <w:pPr>
        <w:suppressAutoHyphens/>
        <w:autoSpaceDN w:val="0"/>
        <w:spacing w:after="0"/>
        <w:ind w:left="0"/>
        <w:jc w:val="both"/>
        <w:rPr>
          <w:rFonts w:ascii="Calibri" w:hAnsi="Calibri" w:cs="Calibri"/>
        </w:rPr>
      </w:pPr>
      <w:r>
        <w:rPr>
          <w:rFonts w:ascii="Calibri" w:hAnsi="Calibri" w:cs="Calibri"/>
        </w:rPr>
        <w:t xml:space="preserve">         </w:t>
      </w:r>
      <w:r w:rsidR="00555836">
        <w:rPr>
          <w:rFonts w:ascii="Calibri" w:hAnsi="Calibri" w:cs="Calibri"/>
        </w:rPr>
        <w:t xml:space="preserve">stands at </w:t>
      </w:r>
      <w:r w:rsidR="00517487">
        <w:rPr>
          <w:rFonts w:ascii="Calibri" w:hAnsi="Calibri" w:cs="Calibri"/>
        </w:rPr>
        <w:t>49.% male and 51.0% female.</w:t>
      </w:r>
    </w:p>
    <w:p w14:paraId="27F20720" w14:textId="77777777" w:rsidR="00517487" w:rsidRDefault="00517487" w:rsidP="000F504B">
      <w:pPr>
        <w:suppressAutoHyphens/>
        <w:autoSpaceDN w:val="0"/>
        <w:spacing w:after="0"/>
        <w:ind w:left="0"/>
        <w:jc w:val="both"/>
        <w:rPr>
          <w:rFonts w:ascii="Calibri" w:hAnsi="Calibri" w:cs="Calibri"/>
        </w:rPr>
      </w:pPr>
    </w:p>
    <w:p w14:paraId="032799CF" w14:textId="4BF83413" w:rsidR="00581A86" w:rsidRDefault="008D527B" w:rsidP="000F504B">
      <w:pPr>
        <w:suppressAutoHyphens/>
        <w:autoSpaceDN w:val="0"/>
        <w:spacing w:after="0"/>
        <w:ind w:left="0"/>
        <w:jc w:val="both"/>
        <w:rPr>
          <w:rFonts w:ascii="Calibri" w:hAnsi="Calibri" w:cs="Calibri"/>
        </w:rPr>
      </w:pPr>
      <w:r>
        <w:rPr>
          <w:rFonts w:ascii="Calibri" w:hAnsi="Calibri" w:cs="Calibri"/>
        </w:rPr>
        <w:t>3.3</w:t>
      </w:r>
      <w:r w:rsidR="008D25F8">
        <w:rPr>
          <w:rFonts w:ascii="Calibri" w:hAnsi="Calibri" w:cs="Calibri"/>
        </w:rPr>
        <w:t xml:space="preserve">    </w:t>
      </w:r>
      <w:r w:rsidR="00581A86">
        <w:rPr>
          <w:rFonts w:ascii="Calibri" w:hAnsi="Calibri" w:cs="Calibri"/>
        </w:rPr>
        <w:t xml:space="preserve">At Sandwell and West Birmingham NHS Trust, the data </w:t>
      </w:r>
      <w:r w:rsidR="00432F8C">
        <w:rPr>
          <w:rFonts w:ascii="Calibri" w:hAnsi="Calibri" w:cs="Calibri"/>
        </w:rPr>
        <w:t>shows</w:t>
      </w:r>
      <w:r w:rsidR="00581A86">
        <w:rPr>
          <w:rFonts w:ascii="Calibri" w:hAnsi="Calibri" w:cs="Calibri"/>
        </w:rPr>
        <w:t xml:space="preserve"> a mean gender pay </w:t>
      </w:r>
    </w:p>
    <w:p w14:paraId="44248528" w14:textId="6BED1FF4" w:rsidR="00581A86" w:rsidRDefault="00581A86" w:rsidP="000F504B">
      <w:pPr>
        <w:suppressAutoHyphens/>
        <w:autoSpaceDN w:val="0"/>
        <w:spacing w:after="0"/>
        <w:ind w:left="0"/>
        <w:jc w:val="both"/>
        <w:rPr>
          <w:rFonts w:ascii="Calibri" w:hAnsi="Calibri" w:cs="Calibri"/>
        </w:rPr>
      </w:pPr>
      <w:r>
        <w:rPr>
          <w:rFonts w:ascii="Calibri" w:hAnsi="Calibri" w:cs="Calibri"/>
        </w:rPr>
        <w:t xml:space="preserve">         </w:t>
      </w:r>
      <w:r w:rsidR="00432F8C">
        <w:rPr>
          <w:rFonts w:ascii="Calibri" w:hAnsi="Calibri" w:cs="Calibri"/>
        </w:rPr>
        <w:t xml:space="preserve"> </w:t>
      </w:r>
      <w:r>
        <w:rPr>
          <w:rFonts w:ascii="Calibri" w:hAnsi="Calibri" w:cs="Calibri"/>
        </w:rPr>
        <w:t xml:space="preserve">gap of 25.74 % as </w:t>
      </w:r>
      <w:proofErr w:type="gramStart"/>
      <w:r>
        <w:rPr>
          <w:rFonts w:ascii="Calibri" w:hAnsi="Calibri" w:cs="Calibri"/>
        </w:rPr>
        <w:t>at</w:t>
      </w:r>
      <w:proofErr w:type="gramEnd"/>
      <w:r w:rsidR="00DB2FD9">
        <w:rPr>
          <w:rFonts w:ascii="Calibri" w:hAnsi="Calibri" w:cs="Calibri"/>
        </w:rPr>
        <w:t xml:space="preserve"> 31st</w:t>
      </w:r>
      <w:r>
        <w:rPr>
          <w:rFonts w:ascii="Calibri" w:hAnsi="Calibri" w:cs="Calibri"/>
        </w:rPr>
        <w:t xml:space="preserve"> March 2025.</w:t>
      </w:r>
      <w:r w:rsidR="00432F8C">
        <w:rPr>
          <w:rFonts w:ascii="Calibri" w:hAnsi="Calibri" w:cs="Calibri"/>
        </w:rPr>
        <w:t xml:space="preserve"> </w:t>
      </w:r>
      <w:r>
        <w:rPr>
          <w:rFonts w:ascii="Calibri" w:hAnsi="Calibri" w:cs="Calibri"/>
        </w:rPr>
        <w:t xml:space="preserve">This represents a nominal increase from the </w:t>
      </w:r>
    </w:p>
    <w:p w14:paraId="585B0DC9" w14:textId="77777777" w:rsidR="00432F8C" w:rsidRDefault="00581A86" w:rsidP="000F504B">
      <w:pPr>
        <w:suppressAutoHyphens/>
        <w:autoSpaceDN w:val="0"/>
        <w:spacing w:after="0"/>
        <w:ind w:left="0"/>
        <w:jc w:val="both"/>
        <w:rPr>
          <w:rFonts w:ascii="Calibri" w:hAnsi="Calibri" w:cs="Calibri"/>
        </w:rPr>
      </w:pPr>
      <w:r>
        <w:rPr>
          <w:rFonts w:ascii="Calibri" w:hAnsi="Calibri" w:cs="Calibri"/>
        </w:rPr>
        <w:t xml:space="preserve">          previous reporting year</w:t>
      </w:r>
      <w:r w:rsidR="00432F8C">
        <w:rPr>
          <w:rFonts w:ascii="Calibri" w:hAnsi="Calibri" w:cs="Calibri"/>
        </w:rPr>
        <w:t>,</w:t>
      </w:r>
      <w:r>
        <w:rPr>
          <w:rFonts w:ascii="Calibri" w:hAnsi="Calibri" w:cs="Calibri"/>
        </w:rPr>
        <w:t xml:space="preserve"> which was 25.71%.</w:t>
      </w:r>
      <w:r w:rsidR="00432F8C">
        <w:rPr>
          <w:rFonts w:ascii="Calibri" w:hAnsi="Calibri" w:cs="Calibri"/>
        </w:rPr>
        <w:t xml:space="preserve"> The median gender pay gap has improved</w:t>
      </w:r>
    </w:p>
    <w:p w14:paraId="61D8147E" w14:textId="77777777" w:rsidR="001207B0" w:rsidRDefault="00432F8C" w:rsidP="000F504B">
      <w:pPr>
        <w:suppressAutoHyphens/>
        <w:autoSpaceDN w:val="0"/>
        <w:spacing w:after="0"/>
        <w:ind w:left="0"/>
        <w:jc w:val="both"/>
        <w:rPr>
          <w:rFonts w:ascii="Calibri" w:hAnsi="Calibri" w:cs="Calibri"/>
        </w:rPr>
      </w:pPr>
      <w:r>
        <w:rPr>
          <w:rFonts w:ascii="Calibri" w:hAnsi="Calibri" w:cs="Calibri"/>
        </w:rPr>
        <w:t xml:space="preserve">          since the previous year, from 11.24% to 9.54%.</w:t>
      </w:r>
      <w:r w:rsidR="001207B0">
        <w:rPr>
          <w:rFonts w:ascii="Calibri" w:hAnsi="Calibri" w:cs="Calibri"/>
        </w:rPr>
        <w:t xml:space="preserve"> representing a 1.7% improvement.</w:t>
      </w:r>
    </w:p>
    <w:p w14:paraId="725D0083" w14:textId="77777777" w:rsidR="001207B0" w:rsidRDefault="001207B0" w:rsidP="000F504B">
      <w:pPr>
        <w:suppressAutoHyphens/>
        <w:autoSpaceDN w:val="0"/>
        <w:spacing w:after="0"/>
        <w:ind w:left="0"/>
        <w:jc w:val="both"/>
        <w:rPr>
          <w:rFonts w:ascii="Calibri" w:hAnsi="Calibri" w:cs="Calibri"/>
        </w:rPr>
      </w:pPr>
      <w:r>
        <w:rPr>
          <w:rFonts w:ascii="Calibri" w:hAnsi="Calibri" w:cs="Calibri"/>
        </w:rPr>
        <w:t xml:space="preserve">         </w:t>
      </w:r>
      <w:r w:rsidR="00432F8C">
        <w:rPr>
          <w:rFonts w:ascii="Calibri" w:hAnsi="Calibri" w:cs="Calibri"/>
        </w:rPr>
        <w:t xml:space="preserve"> Figure 3.3.1 below shows the median and </w:t>
      </w:r>
      <w:r>
        <w:rPr>
          <w:rFonts w:ascii="Calibri" w:hAnsi="Calibri" w:cs="Calibri"/>
        </w:rPr>
        <w:t xml:space="preserve">the </w:t>
      </w:r>
      <w:r w:rsidR="00432F8C">
        <w:rPr>
          <w:rFonts w:ascii="Calibri" w:hAnsi="Calibri" w:cs="Calibri"/>
        </w:rPr>
        <w:t xml:space="preserve">mean pay gap trend data over the past </w:t>
      </w:r>
      <w:r>
        <w:rPr>
          <w:rFonts w:ascii="Calibri" w:hAnsi="Calibri" w:cs="Calibri"/>
        </w:rPr>
        <w:t xml:space="preserve"> </w:t>
      </w:r>
    </w:p>
    <w:p w14:paraId="2C3064BF" w14:textId="4920FB10" w:rsidR="00517487" w:rsidRDefault="001207B0" w:rsidP="000F504B">
      <w:pPr>
        <w:suppressAutoHyphens/>
        <w:autoSpaceDN w:val="0"/>
        <w:spacing w:after="0"/>
        <w:ind w:left="0"/>
        <w:jc w:val="both"/>
        <w:rPr>
          <w:rFonts w:ascii="Calibri" w:hAnsi="Calibri" w:cs="Calibri"/>
        </w:rPr>
      </w:pPr>
      <w:r>
        <w:rPr>
          <w:rFonts w:ascii="Calibri" w:hAnsi="Calibri" w:cs="Calibri"/>
        </w:rPr>
        <w:t xml:space="preserve">          </w:t>
      </w:r>
      <w:r w:rsidR="00432F8C">
        <w:rPr>
          <w:rFonts w:ascii="Calibri" w:hAnsi="Calibri" w:cs="Calibri"/>
        </w:rPr>
        <w:t>few years, which illustrates an overall downward trend</w:t>
      </w:r>
      <w:r>
        <w:rPr>
          <w:rFonts w:ascii="Calibri" w:hAnsi="Calibri" w:cs="Calibri"/>
        </w:rPr>
        <w:t xml:space="preserve"> since March 2023.</w:t>
      </w:r>
    </w:p>
    <w:p w14:paraId="04F87B02" w14:textId="7D2A8CA4" w:rsidR="001207B0" w:rsidRDefault="001207B0" w:rsidP="000F504B">
      <w:pPr>
        <w:suppressAutoHyphens/>
        <w:autoSpaceDN w:val="0"/>
        <w:spacing w:after="0"/>
        <w:ind w:left="0"/>
        <w:jc w:val="both"/>
        <w:rPr>
          <w:rFonts w:ascii="Calibri" w:hAnsi="Calibri" w:cs="Calibri"/>
        </w:rPr>
      </w:pPr>
      <w:r>
        <w:rPr>
          <w:rFonts w:ascii="Calibri" w:hAnsi="Calibri" w:cs="Calibri"/>
        </w:rPr>
        <w:t xml:space="preserve">          </w:t>
      </w:r>
    </w:p>
    <w:p w14:paraId="706DBCDC" w14:textId="2753C49D" w:rsidR="00432F8C" w:rsidRDefault="001207B0" w:rsidP="000F504B">
      <w:pPr>
        <w:suppressAutoHyphens/>
        <w:autoSpaceDN w:val="0"/>
        <w:spacing w:after="0"/>
        <w:ind w:left="0"/>
        <w:jc w:val="both"/>
        <w:rPr>
          <w:rFonts w:ascii="Calibri" w:hAnsi="Calibri" w:cs="Calibri"/>
        </w:rPr>
      </w:pPr>
      <w:r>
        <w:rPr>
          <w:rFonts w:ascii="Calibri" w:hAnsi="Calibri" w:cs="Calibri"/>
        </w:rPr>
        <w:t xml:space="preserve">          Figure 3.3.1</w:t>
      </w:r>
    </w:p>
    <w:p w14:paraId="4815D203" w14:textId="008EADD4" w:rsidR="00432F8C" w:rsidRDefault="00432F8C" w:rsidP="000F504B">
      <w:pPr>
        <w:suppressAutoHyphens/>
        <w:autoSpaceDN w:val="0"/>
        <w:spacing w:after="0"/>
        <w:ind w:left="0"/>
        <w:jc w:val="both"/>
        <w:rPr>
          <w:rFonts w:ascii="Calibri" w:hAnsi="Calibri" w:cs="Calibri"/>
        </w:rPr>
      </w:pPr>
      <w:r>
        <w:rPr>
          <w:rFonts w:ascii="Calibri" w:hAnsi="Calibri" w:cs="Calibri"/>
        </w:rPr>
        <w:t xml:space="preserve">          </w:t>
      </w:r>
      <w:r>
        <w:rPr>
          <w:noProof/>
        </w:rPr>
        <w:drawing>
          <wp:inline distT="0" distB="0" distL="0" distR="0" wp14:anchorId="7CAF3E4E" wp14:editId="773E9FD0">
            <wp:extent cx="4978400" cy="2786380"/>
            <wp:effectExtent l="0" t="0" r="12700" b="13970"/>
            <wp:docPr id="865972476" name="Chart 1" descr="Graph showing mean and median pay gap">
              <a:extLst xmlns:a="http://schemas.openxmlformats.org/drawingml/2006/main">
                <a:ext uri="{FF2B5EF4-FFF2-40B4-BE49-F238E27FC236}">
                  <a16:creationId xmlns:a16="http://schemas.microsoft.com/office/drawing/2014/main" id="{D1C4A46D-16B1-21A9-8240-D1C8509A85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DDEE0D" w14:textId="4C984F0A" w:rsidR="00432F8C" w:rsidRDefault="00394EC9" w:rsidP="000F504B">
      <w:pPr>
        <w:suppressAutoHyphens/>
        <w:autoSpaceDN w:val="0"/>
        <w:spacing w:after="200" w:line="276" w:lineRule="auto"/>
        <w:ind w:left="0"/>
        <w:jc w:val="both"/>
        <w:rPr>
          <w:rFonts w:ascii="Calibri" w:hAnsi="Calibri" w:cs="Calibri"/>
        </w:rPr>
      </w:pPr>
      <w:r>
        <w:rPr>
          <w:rFonts w:ascii="Calibri" w:hAnsi="Calibri" w:cs="Calibri"/>
        </w:rPr>
        <w:t xml:space="preserve">          </w:t>
      </w:r>
    </w:p>
    <w:p w14:paraId="0BB94DB4" w14:textId="77777777" w:rsidR="00394EC9" w:rsidRDefault="00394EC9" w:rsidP="000F504B">
      <w:pPr>
        <w:suppressAutoHyphens/>
        <w:autoSpaceDN w:val="0"/>
        <w:spacing w:after="200" w:line="276" w:lineRule="auto"/>
        <w:ind w:left="0"/>
        <w:jc w:val="both"/>
        <w:rPr>
          <w:rFonts w:ascii="Calibri" w:hAnsi="Calibri" w:cs="Calibri"/>
        </w:rPr>
      </w:pPr>
    </w:p>
    <w:p w14:paraId="51D2BFEF" w14:textId="7BBB8C0A" w:rsidR="008C37C8" w:rsidRDefault="008D527B" w:rsidP="000F504B">
      <w:pPr>
        <w:suppressAutoHyphens/>
        <w:autoSpaceDN w:val="0"/>
        <w:spacing w:after="0"/>
        <w:ind w:left="0"/>
        <w:jc w:val="both"/>
        <w:rPr>
          <w:rFonts w:ascii="Calibri" w:hAnsi="Calibri" w:cs="Calibri"/>
        </w:rPr>
      </w:pPr>
      <w:r>
        <w:rPr>
          <w:rFonts w:ascii="Calibri" w:hAnsi="Calibri" w:cs="Calibri"/>
        </w:rPr>
        <w:lastRenderedPageBreak/>
        <w:t>3.4</w:t>
      </w:r>
      <w:r w:rsidR="00432F8C">
        <w:rPr>
          <w:rFonts w:ascii="Calibri" w:hAnsi="Calibri" w:cs="Calibri"/>
        </w:rPr>
        <w:t xml:space="preserve">    </w:t>
      </w:r>
      <w:r w:rsidR="00113BD5">
        <w:rPr>
          <w:rFonts w:ascii="Calibri" w:hAnsi="Calibri" w:cs="Calibri"/>
        </w:rPr>
        <w:t xml:space="preserve"> During the reporting year,</w:t>
      </w:r>
      <w:r w:rsidR="008C37C8">
        <w:rPr>
          <w:rFonts w:ascii="Calibri" w:hAnsi="Calibri" w:cs="Calibri"/>
        </w:rPr>
        <w:t>24/25</w:t>
      </w:r>
      <w:r w:rsidR="000F504B">
        <w:rPr>
          <w:rFonts w:ascii="Calibri" w:hAnsi="Calibri" w:cs="Calibri"/>
        </w:rPr>
        <w:t>,</w:t>
      </w:r>
      <w:r w:rsidR="00113BD5">
        <w:rPr>
          <w:rFonts w:ascii="Calibri" w:hAnsi="Calibri" w:cs="Calibri"/>
        </w:rPr>
        <w:t xml:space="preserve"> there has been an overall improvement in the gender </w:t>
      </w:r>
    </w:p>
    <w:p w14:paraId="498605BD" w14:textId="77777777" w:rsidR="00394EC9" w:rsidRDefault="008C37C8" w:rsidP="000F504B">
      <w:pPr>
        <w:suppressAutoHyphens/>
        <w:autoSpaceDN w:val="0"/>
        <w:spacing w:after="0"/>
        <w:ind w:left="0"/>
        <w:jc w:val="both"/>
        <w:rPr>
          <w:rFonts w:ascii="Calibri" w:hAnsi="Calibri" w:cs="Calibri"/>
        </w:rPr>
      </w:pPr>
      <w:r>
        <w:rPr>
          <w:rFonts w:ascii="Calibri" w:hAnsi="Calibri" w:cs="Calibri"/>
        </w:rPr>
        <w:t xml:space="preserve">           </w:t>
      </w:r>
      <w:r w:rsidR="00113BD5">
        <w:rPr>
          <w:rFonts w:ascii="Calibri" w:hAnsi="Calibri" w:cs="Calibri"/>
        </w:rPr>
        <w:t xml:space="preserve">split within the Trust, with the recruitment of more male colleagues. The proportion of </w:t>
      </w:r>
      <w:r w:rsidR="00394EC9">
        <w:rPr>
          <w:rFonts w:ascii="Calibri" w:hAnsi="Calibri" w:cs="Calibri"/>
        </w:rPr>
        <w:t xml:space="preserve">  </w:t>
      </w:r>
    </w:p>
    <w:p w14:paraId="4BFCFD7C" w14:textId="15A91EFD" w:rsidR="00113BD5" w:rsidRDefault="00394EC9" w:rsidP="00DB2FD9">
      <w:pPr>
        <w:suppressAutoHyphens/>
        <w:autoSpaceDN w:val="0"/>
        <w:spacing w:after="0"/>
        <w:ind w:left="0"/>
        <w:jc w:val="both"/>
        <w:rPr>
          <w:rFonts w:ascii="Calibri" w:hAnsi="Calibri" w:cs="Calibri"/>
        </w:rPr>
      </w:pPr>
      <w:r>
        <w:rPr>
          <w:rFonts w:ascii="Calibri" w:hAnsi="Calibri" w:cs="Calibri"/>
        </w:rPr>
        <w:t xml:space="preserve">           </w:t>
      </w:r>
      <w:r w:rsidR="00113BD5">
        <w:rPr>
          <w:rFonts w:ascii="Calibri" w:hAnsi="Calibri" w:cs="Calibri"/>
        </w:rPr>
        <w:t>males</w:t>
      </w:r>
      <w:r>
        <w:rPr>
          <w:rFonts w:ascii="Calibri" w:hAnsi="Calibri" w:cs="Calibri"/>
        </w:rPr>
        <w:t xml:space="preserve"> </w:t>
      </w:r>
      <w:r w:rsidR="00113BD5">
        <w:rPr>
          <w:rFonts w:ascii="Calibri" w:hAnsi="Calibri" w:cs="Calibri"/>
        </w:rPr>
        <w:t>employe</w:t>
      </w:r>
      <w:r w:rsidR="002D02E1">
        <w:rPr>
          <w:rFonts w:ascii="Calibri" w:hAnsi="Calibri" w:cs="Calibri"/>
        </w:rPr>
        <w:t>d</w:t>
      </w:r>
      <w:r w:rsidR="00BF26AA">
        <w:rPr>
          <w:rFonts w:ascii="Calibri" w:hAnsi="Calibri" w:cs="Calibri"/>
        </w:rPr>
        <w:t xml:space="preserve"> </w:t>
      </w:r>
      <w:r w:rsidR="00113BD5">
        <w:rPr>
          <w:rFonts w:ascii="Calibri" w:hAnsi="Calibri" w:cs="Calibri"/>
        </w:rPr>
        <w:t>at the trust increased from 20.96 % to 22.11%.</w:t>
      </w:r>
    </w:p>
    <w:p w14:paraId="689534C3" w14:textId="77777777" w:rsidR="00DB2FD9" w:rsidRDefault="00DB2FD9" w:rsidP="00DB2FD9">
      <w:pPr>
        <w:suppressAutoHyphens/>
        <w:autoSpaceDN w:val="0"/>
        <w:spacing w:after="0"/>
        <w:ind w:left="0"/>
        <w:jc w:val="both"/>
        <w:rPr>
          <w:rFonts w:ascii="Calibri" w:hAnsi="Calibri" w:cs="Calibri"/>
        </w:rPr>
      </w:pPr>
    </w:p>
    <w:p w14:paraId="30A62D15" w14:textId="0236E20B" w:rsidR="006015FA" w:rsidRDefault="008D527B" w:rsidP="000F504B">
      <w:pPr>
        <w:suppressAutoHyphens/>
        <w:autoSpaceDN w:val="0"/>
        <w:spacing w:after="0"/>
        <w:ind w:left="0"/>
        <w:jc w:val="both"/>
        <w:rPr>
          <w:rFonts w:ascii="Calibri" w:hAnsi="Calibri" w:cs="Calibri"/>
        </w:rPr>
      </w:pPr>
      <w:r>
        <w:rPr>
          <w:rFonts w:ascii="Calibri" w:hAnsi="Calibri" w:cs="Calibri"/>
        </w:rPr>
        <w:t>3.5</w:t>
      </w:r>
      <w:r w:rsidR="00113BD5">
        <w:rPr>
          <w:rFonts w:ascii="Calibri" w:hAnsi="Calibri" w:cs="Calibri"/>
        </w:rPr>
        <w:t xml:space="preserve">     </w:t>
      </w:r>
      <w:r w:rsidR="006015FA">
        <w:rPr>
          <w:rFonts w:ascii="Calibri" w:hAnsi="Calibri" w:cs="Calibri"/>
        </w:rPr>
        <w:t>Figures 3.</w:t>
      </w:r>
      <w:r w:rsidR="008C37C8">
        <w:rPr>
          <w:rFonts w:ascii="Calibri" w:hAnsi="Calibri" w:cs="Calibri"/>
        </w:rPr>
        <w:t>6</w:t>
      </w:r>
      <w:r w:rsidR="006015FA">
        <w:rPr>
          <w:rFonts w:ascii="Calibri" w:hAnsi="Calibri" w:cs="Calibri"/>
        </w:rPr>
        <w:t>.1, 3.</w:t>
      </w:r>
      <w:r w:rsidR="008C37C8">
        <w:rPr>
          <w:rFonts w:ascii="Calibri" w:hAnsi="Calibri" w:cs="Calibri"/>
        </w:rPr>
        <w:t>6</w:t>
      </w:r>
      <w:r w:rsidR="006015FA">
        <w:rPr>
          <w:rFonts w:ascii="Calibri" w:hAnsi="Calibri" w:cs="Calibri"/>
        </w:rPr>
        <w:t>.2 and 3.</w:t>
      </w:r>
      <w:r w:rsidR="008C37C8">
        <w:rPr>
          <w:rFonts w:ascii="Calibri" w:hAnsi="Calibri" w:cs="Calibri"/>
        </w:rPr>
        <w:t>6</w:t>
      </w:r>
      <w:r w:rsidR="006015FA">
        <w:rPr>
          <w:rFonts w:ascii="Calibri" w:hAnsi="Calibri" w:cs="Calibri"/>
        </w:rPr>
        <w:t xml:space="preserve">.3 show the median and mean pay gap trend data since        </w:t>
      </w:r>
    </w:p>
    <w:p w14:paraId="1B4BDD6C" w14:textId="0E65118B" w:rsidR="00542007" w:rsidRDefault="006015FA" w:rsidP="000F504B">
      <w:pPr>
        <w:suppressAutoHyphens/>
        <w:autoSpaceDN w:val="0"/>
        <w:spacing w:after="0"/>
        <w:ind w:left="0"/>
        <w:jc w:val="both"/>
        <w:rPr>
          <w:rFonts w:ascii="Calibri" w:hAnsi="Calibri" w:cs="Calibri"/>
        </w:rPr>
      </w:pPr>
      <w:r>
        <w:rPr>
          <w:rFonts w:ascii="Calibri" w:hAnsi="Calibri" w:cs="Calibri"/>
        </w:rPr>
        <w:t xml:space="preserve">           March 2022 split into three distinct groups.</w:t>
      </w:r>
      <w:r w:rsidR="00542007">
        <w:rPr>
          <w:rFonts w:ascii="Calibri" w:hAnsi="Calibri" w:cs="Calibri"/>
        </w:rPr>
        <w:t xml:space="preserve"> These are as follows.</w:t>
      </w:r>
    </w:p>
    <w:p w14:paraId="7CBC1D5A" w14:textId="565EB5A5" w:rsidR="006015FA" w:rsidRPr="00542007" w:rsidRDefault="006015FA" w:rsidP="000F504B">
      <w:pPr>
        <w:pStyle w:val="ListParagraph"/>
        <w:numPr>
          <w:ilvl w:val="0"/>
          <w:numId w:val="31"/>
        </w:numPr>
        <w:suppressAutoHyphens/>
        <w:autoSpaceDN w:val="0"/>
        <w:spacing w:after="0"/>
        <w:jc w:val="both"/>
        <w:rPr>
          <w:rFonts w:ascii="Calibri" w:hAnsi="Calibri" w:cs="Calibri"/>
        </w:rPr>
      </w:pPr>
      <w:r w:rsidRPr="00542007">
        <w:rPr>
          <w:rFonts w:ascii="Calibri" w:hAnsi="Calibri" w:cs="Calibri"/>
        </w:rPr>
        <w:t>All Staff, which includes staff not employed on Agenda for Change Terms and Conditions</w:t>
      </w:r>
      <w:r w:rsidR="00542007">
        <w:rPr>
          <w:rFonts w:ascii="Calibri" w:hAnsi="Calibri" w:cs="Calibri"/>
        </w:rPr>
        <w:t>,</w:t>
      </w:r>
      <w:r w:rsidRPr="00542007">
        <w:rPr>
          <w:rFonts w:ascii="Calibri" w:hAnsi="Calibri" w:cs="Calibri"/>
        </w:rPr>
        <w:t xml:space="preserve"> </w:t>
      </w:r>
      <w:r w:rsidR="00542007" w:rsidRPr="00542007">
        <w:rPr>
          <w:rFonts w:ascii="Calibri" w:hAnsi="Calibri" w:cs="Calibri"/>
        </w:rPr>
        <w:t>e.g.</w:t>
      </w:r>
      <w:r w:rsidRPr="00542007">
        <w:rPr>
          <w:rFonts w:ascii="Calibri" w:hAnsi="Calibri" w:cs="Calibri"/>
        </w:rPr>
        <w:t xml:space="preserve"> Your Health Partnership </w:t>
      </w:r>
      <w:r w:rsidR="00542007">
        <w:rPr>
          <w:rFonts w:ascii="Calibri" w:hAnsi="Calibri" w:cs="Calibri"/>
        </w:rPr>
        <w:t>Staff</w:t>
      </w:r>
    </w:p>
    <w:p w14:paraId="66DBF655" w14:textId="77777777" w:rsidR="0041745F" w:rsidRDefault="00542007" w:rsidP="000F504B">
      <w:pPr>
        <w:pStyle w:val="ListParagraph"/>
        <w:numPr>
          <w:ilvl w:val="0"/>
          <w:numId w:val="31"/>
        </w:numPr>
        <w:suppressAutoHyphens/>
        <w:autoSpaceDN w:val="0"/>
        <w:spacing w:after="0"/>
        <w:jc w:val="both"/>
        <w:rPr>
          <w:rFonts w:ascii="Calibri" w:hAnsi="Calibri" w:cs="Calibri"/>
        </w:rPr>
      </w:pPr>
      <w:r w:rsidRPr="00542007">
        <w:rPr>
          <w:rFonts w:ascii="Calibri" w:hAnsi="Calibri" w:cs="Calibri"/>
        </w:rPr>
        <w:t>Staff</w:t>
      </w:r>
      <w:r w:rsidR="006015FA" w:rsidRPr="00542007">
        <w:rPr>
          <w:rFonts w:ascii="Calibri" w:hAnsi="Calibri" w:cs="Calibri"/>
        </w:rPr>
        <w:t xml:space="preserve"> who are employed on Agenda for Change Terms and Conditions </w:t>
      </w:r>
    </w:p>
    <w:p w14:paraId="229E770F" w14:textId="77777777" w:rsidR="0041745F" w:rsidRDefault="006015FA" w:rsidP="000F504B">
      <w:pPr>
        <w:pStyle w:val="ListParagraph"/>
        <w:numPr>
          <w:ilvl w:val="0"/>
          <w:numId w:val="31"/>
        </w:numPr>
        <w:suppressAutoHyphens/>
        <w:autoSpaceDN w:val="0"/>
        <w:spacing w:after="0" w:line="276" w:lineRule="auto"/>
        <w:jc w:val="both"/>
        <w:rPr>
          <w:rFonts w:ascii="Calibri" w:hAnsi="Calibri" w:cs="Calibri"/>
        </w:rPr>
      </w:pPr>
      <w:r w:rsidRPr="0041745F">
        <w:rPr>
          <w:rFonts w:ascii="Calibri" w:hAnsi="Calibri" w:cs="Calibri"/>
        </w:rPr>
        <w:t>Medical and Dental Staff</w:t>
      </w:r>
    </w:p>
    <w:p w14:paraId="7C9B7FA1" w14:textId="77777777" w:rsidR="00FB4EC5" w:rsidRDefault="00FB4EC5" w:rsidP="00FB4EC5">
      <w:pPr>
        <w:pStyle w:val="ListParagraph"/>
        <w:suppressAutoHyphens/>
        <w:autoSpaceDN w:val="0"/>
        <w:spacing w:after="0" w:line="276" w:lineRule="auto"/>
        <w:ind w:left="1318"/>
        <w:jc w:val="both"/>
        <w:rPr>
          <w:rFonts w:ascii="Calibri" w:hAnsi="Calibri" w:cs="Calibri"/>
        </w:rPr>
      </w:pPr>
    </w:p>
    <w:p w14:paraId="0EBF6A1C" w14:textId="1C58EA13" w:rsidR="00C951FC" w:rsidRDefault="00C951FC" w:rsidP="000F504B">
      <w:pPr>
        <w:suppressAutoHyphens/>
        <w:autoSpaceDN w:val="0"/>
        <w:spacing w:after="0"/>
        <w:ind w:left="0"/>
        <w:jc w:val="both"/>
        <w:rPr>
          <w:rFonts w:ascii="Calibri" w:hAnsi="Calibri" w:cs="Calibri"/>
        </w:rPr>
      </w:pPr>
      <w:r>
        <w:rPr>
          <w:rFonts w:ascii="Calibri" w:hAnsi="Calibri" w:cs="Calibri"/>
        </w:rPr>
        <w:t xml:space="preserve">3.6    </w:t>
      </w:r>
      <w:bookmarkStart w:id="3" w:name="_Hlk209005056"/>
      <w:r>
        <w:rPr>
          <w:rFonts w:ascii="Calibri" w:hAnsi="Calibri" w:cs="Calibri"/>
        </w:rPr>
        <w:t xml:space="preserve">Presenting the data divided into three distinct staffing groups helps the organisation   </w:t>
      </w:r>
    </w:p>
    <w:p w14:paraId="2B5397A7" w14:textId="63DAD368" w:rsidR="00C951FC" w:rsidRDefault="00C951FC" w:rsidP="000F504B">
      <w:pPr>
        <w:suppressAutoHyphens/>
        <w:autoSpaceDN w:val="0"/>
        <w:spacing w:after="0"/>
        <w:ind w:left="0"/>
        <w:jc w:val="both"/>
        <w:rPr>
          <w:rFonts w:ascii="Calibri" w:hAnsi="Calibri" w:cs="Calibri"/>
        </w:rPr>
      </w:pPr>
      <w:r>
        <w:rPr>
          <w:rFonts w:ascii="Calibri" w:hAnsi="Calibri" w:cs="Calibri"/>
        </w:rPr>
        <w:t xml:space="preserve">          better understand the differences in median and mean pay. This approach also offers   </w:t>
      </w:r>
    </w:p>
    <w:p w14:paraId="6054EA35" w14:textId="195EC5E6" w:rsidR="00C951FC" w:rsidRDefault="00C951FC" w:rsidP="000F504B">
      <w:pPr>
        <w:suppressAutoHyphens/>
        <w:autoSpaceDN w:val="0"/>
        <w:spacing w:after="0"/>
        <w:ind w:left="0"/>
        <w:jc w:val="both"/>
        <w:rPr>
          <w:rFonts w:ascii="Calibri" w:hAnsi="Calibri" w:cs="Calibri"/>
        </w:rPr>
      </w:pPr>
      <w:r>
        <w:rPr>
          <w:rFonts w:ascii="Calibri" w:hAnsi="Calibri" w:cs="Calibri"/>
        </w:rPr>
        <w:t xml:space="preserve">          deeper insight into the factors driving the gender pay gap. Overall, the trend data for     </w:t>
      </w:r>
    </w:p>
    <w:p w14:paraId="4208FC15" w14:textId="77777777" w:rsidR="00B77788" w:rsidRDefault="00C951FC" w:rsidP="000F504B">
      <w:pPr>
        <w:suppressAutoHyphens/>
        <w:autoSpaceDN w:val="0"/>
        <w:spacing w:after="0"/>
        <w:ind w:left="0"/>
        <w:jc w:val="both"/>
        <w:rPr>
          <w:rFonts w:ascii="Calibri" w:hAnsi="Calibri" w:cs="Calibri"/>
        </w:rPr>
      </w:pPr>
      <w:r>
        <w:rPr>
          <w:rFonts w:ascii="Calibri" w:hAnsi="Calibri" w:cs="Calibri"/>
        </w:rPr>
        <w:t xml:space="preserve">          both median and mean pay gaps</w:t>
      </w:r>
      <w:r w:rsidR="00B77788">
        <w:rPr>
          <w:rFonts w:ascii="Calibri" w:hAnsi="Calibri" w:cs="Calibri"/>
        </w:rPr>
        <w:t xml:space="preserve"> for all staff and Medical and Dental Staff</w:t>
      </w:r>
      <w:r>
        <w:rPr>
          <w:rFonts w:ascii="Calibri" w:hAnsi="Calibri" w:cs="Calibri"/>
        </w:rPr>
        <w:t xml:space="preserve"> show a </w:t>
      </w:r>
      <w:r w:rsidR="00B77788">
        <w:rPr>
          <w:rFonts w:ascii="Calibri" w:hAnsi="Calibri" w:cs="Calibri"/>
        </w:rPr>
        <w:t xml:space="preserve"> </w:t>
      </w:r>
    </w:p>
    <w:p w14:paraId="481ECBAC" w14:textId="433A6566" w:rsidR="008C37C8" w:rsidRDefault="00B77788" w:rsidP="000F504B">
      <w:pPr>
        <w:suppressAutoHyphens/>
        <w:autoSpaceDN w:val="0"/>
        <w:spacing w:after="0"/>
        <w:ind w:left="0"/>
        <w:jc w:val="both"/>
        <w:rPr>
          <w:rFonts w:ascii="Calibri" w:hAnsi="Calibri" w:cs="Calibri"/>
        </w:rPr>
      </w:pPr>
      <w:r>
        <w:rPr>
          <w:rFonts w:ascii="Calibri" w:hAnsi="Calibri" w:cs="Calibri"/>
        </w:rPr>
        <w:t xml:space="preserve">         </w:t>
      </w:r>
      <w:r w:rsidR="001471DF">
        <w:rPr>
          <w:rFonts w:ascii="Calibri" w:hAnsi="Calibri" w:cs="Calibri"/>
        </w:rPr>
        <w:t xml:space="preserve"> </w:t>
      </w:r>
      <w:r w:rsidR="00C951FC">
        <w:rPr>
          <w:rFonts w:ascii="Calibri" w:hAnsi="Calibri" w:cs="Calibri"/>
        </w:rPr>
        <w:t>consistent downward trend since March 2022.</w:t>
      </w:r>
      <w:bookmarkEnd w:id="3"/>
      <w:r w:rsidR="008C37C8">
        <w:rPr>
          <w:rFonts w:ascii="Calibri" w:hAnsi="Calibri" w:cs="Calibri"/>
        </w:rPr>
        <w:t xml:space="preserve"> </w:t>
      </w:r>
    </w:p>
    <w:p w14:paraId="63D8A74D" w14:textId="5971EB41" w:rsidR="008C37C8" w:rsidRDefault="008C37C8" w:rsidP="000F504B">
      <w:pPr>
        <w:suppressAutoHyphens/>
        <w:autoSpaceDN w:val="0"/>
        <w:spacing w:after="0"/>
        <w:ind w:left="0"/>
        <w:jc w:val="both"/>
        <w:rPr>
          <w:rFonts w:ascii="Calibri" w:hAnsi="Calibri" w:cs="Calibri"/>
        </w:rPr>
      </w:pPr>
      <w:r>
        <w:rPr>
          <w:rFonts w:ascii="Calibri" w:hAnsi="Calibri" w:cs="Calibri"/>
        </w:rPr>
        <w:t xml:space="preserve">          Figure 3.6.1</w:t>
      </w:r>
    </w:p>
    <w:p w14:paraId="61074D5D" w14:textId="75CF3EB1" w:rsidR="00491671" w:rsidRDefault="00BA63D1" w:rsidP="000F504B">
      <w:pPr>
        <w:suppressAutoHyphens/>
        <w:autoSpaceDN w:val="0"/>
        <w:spacing w:after="0" w:line="276" w:lineRule="auto"/>
        <w:ind w:left="0"/>
        <w:jc w:val="both"/>
        <w:rPr>
          <w:rFonts w:ascii="Calibri" w:hAnsi="Calibri" w:cs="Calibri"/>
        </w:rPr>
      </w:pPr>
      <w:r>
        <w:rPr>
          <w:rFonts w:ascii="Calibri" w:hAnsi="Calibri" w:cs="Calibri"/>
        </w:rPr>
        <w:t xml:space="preserve">   </w:t>
      </w:r>
      <w:r w:rsidR="008C37C8">
        <w:rPr>
          <w:rFonts w:ascii="Calibri" w:hAnsi="Calibri" w:cs="Calibri"/>
        </w:rPr>
        <w:t xml:space="preserve">       </w:t>
      </w:r>
      <w:r w:rsidR="008C37C8">
        <w:rPr>
          <w:noProof/>
        </w:rPr>
        <w:drawing>
          <wp:inline distT="0" distB="0" distL="0" distR="0" wp14:anchorId="69C3969E" wp14:editId="0223499D">
            <wp:extent cx="4591183" cy="1892744"/>
            <wp:effectExtent l="0" t="0" r="0" b="12700"/>
            <wp:docPr id="1925123588" name="Chart 1" descr="Graph showing pay gap data trenss for all staff">
              <a:extLst xmlns:a="http://schemas.openxmlformats.org/drawingml/2006/main">
                <a:ext uri="{FF2B5EF4-FFF2-40B4-BE49-F238E27FC236}">
                  <a16:creationId xmlns:a16="http://schemas.microsoft.com/office/drawing/2014/main" id="{5ECC2C3C-46B4-8A08-3B26-FADBEDDFA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1F27BC" w14:textId="5A1D1652" w:rsidR="00491671" w:rsidRDefault="008C37C8" w:rsidP="000F504B">
      <w:pPr>
        <w:suppressAutoHyphens/>
        <w:autoSpaceDN w:val="0"/>
        <w:spacing w:after="0" w:line="276" w:lineRule="auto"/>
        <w:ind w:left="0"/>
        <w:jc w:val="both"/>
        <w:rPr>
          <w:rFonts w:ascii="Calibri" w:hAnsi="Calibri" w:cs="Calibri"/>
        </w:rPr>
      </w:pPr>
      <w:r>
        <w:rPr>
          <w:rFonts w:ascii="Calibri" w:hAnsi="Calibri" w:cs="Calibri"/>
        </w:rPr>
        <w:t xml:space="preserve">     </w:t>
      </w:r>
      <w:r w:rsidR="00491671">
        <w:rPr>
          <w:rFonts w:ascii="Calibri" w:hAnsi="Calibri" w:cs="Calibri"/>
        </w:rPr>
        <w:t xml:space="preserve"> </w:t>
      </w:r>
      <w:r w:rsidR="001E1449">
        <w:rPr>
          <w:rFonts w:ascii="Calibri" w:hAnsi="Calibri" w:cs="Calibri"/>
        </w:rPr>
        <w:t xml:space="preserve">    Figure 3.6.2</w:t>
      </w:r>
    </w:p>
    <w:p w14:paraId="75EA1A9B" w14:textId="18511579" w:rsidR="008C37C8" w:rsidRDefault="008C37C8" w:rsidP="000F504B">
      <w:pPr>
        <w:suppressAutoHyphens/>
        <w:autoSpaceDN w:val="0"/>
        <w:spacing w:after="0" w:line="276" w:lineRule="auto"/>
        <w:ind w:left="0"/>
        <w:jc w:val="both"/>
        <w:rPr>
          <w:rFonts w:ascii="Calibri" w:hAnsi="Calibri" w:cs="Calibri"/>
        </w:rPr>
      </w:pPr>
      <w:r>
        <w:rPr>
          <w:rFonts w:ascii="Calibri" w:hAnsi="Calibri" w:cs="Calibri"/>
        </w:rPr>
        <w:t xml:space="preserve">          </w:t>
      </w:r>
      <w:r>
        <w:rPr>
          <w:noProof/>
        </w:rPr>
        <w:drawing>
          <wp:inline distT="0" distB="0" distL="0" distR="0" wp14:anchorId="79B175D5" wp14:editId="3A3F82D0">
            <wp:extent cx="4591050" cy="2179955"/>
            <wp:effectExtent l="0" t="0" r="0" b="10795"/>
            <wp:docPr id="435898106" name="Chart 1" descr="Graph showing pay gap trend data for agenda for change staff">
              <a:extLst xmlns:a="http://schemas.openxmlformats.org/drawingml/2006/main">
                <a:ext uri="{FF2B5EF4-FFF2-40B4-BE49-F238E27FC236}">
                  <a16:creationId xmlns:a16="http://schemas.microsoft.com/office/drawing/2014/main" id="{13DA2400-FD93-4731-8997-D6C5AA1556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567810" w14:textId="77777777" w:rsidR="00640056" w:rsidRDefault="001E1449" w:rsidP="000F504B">
      <w:pPr>
        <w:suppressAutoHyphens/>
        <w:autoSpaceDN w:val="0"/>
        <w:spacing w:after="0" w:line="276" w:lineRule="auto"/>
        <w:ind w:left="0"/>
        <w:jc w:val="both"/>
        <w:rPr>
          <w:rFonts w:ascii="Calibri" w:hAnsi="Calibri" w:cs="Calibri"/>
        </w:rPr>
      </w:pPr>
      <w:r>
        <w:rPr>
          <w:rFonts w:ascii="Calibri" w:hAnsi="Calibri" w:cs="Calibri"/>
        </w:rPr>
        <w:t xml:space="preserve">          </w:t>
      </w:r>
    </w:p>
    <w:p w14:paraId="1680339A" w14:textId="77777777" w:rsidR="00640056" w:rsidRDefault="00640056" w:rsidP="000F504B">
      <w:pPr>
        <w:suppressAutoHyphens/>
        <w:autoSpaceDN w:val="0"/>
        <w:spacing w:after="0" w:line="276" w:lineRule="auto"/>
        <w:ind w:left="0"/>
        <w:jc w:val="both"/>
        <w:rPr>
          <w:rFonts w:ascii="Calibri" w:hAnsi="Calibri" w:cs="Calibri"/>
        </w:rPr>
      </w:pPr>
    </w:p>
    <w:p w14:paraId="25204975" w14:textId="77777777" w:rsidR="00640056" w:rsidRDefault="00640056" w:rsidP="000F504B">
      <w:pPr>
        <w:suppressAutoHyphens/>
        <w:autoSpaceDN w:val="0"/>
        <w:spacing w:after="0" w:line="276" w:lineRule="auto"/>
        <w:ind w:left="0"/>
        <w:jc w:val="both"/>
        <w:rPr>
          <w:rFonts w:ascii="Calibri" w:hAnsi="Calibri" w:cs="Calibri"/>
        </w:rPr>
      </w:pPr>
    </w:p>
    <w:p w14:paraId="69DFB8CC" w14:textId="77777777" w:rsidR="00640056" w:rsidRDefault="00640056" w:rsidP="000F504B">
      <w:pPr>
        <w:suppressAutoHyphens/>
        <w:autoSpaceDN w:val="0"/>
        <w:spacing w:after="0" w:line="276" w:lineRule="auto"/>
        <w:ind w:left="0"/>
        <w:jc w:val="both"/>
        <w:rPr>
          <w:rFonts w:ascii="Calibri" w:hAnsi="Calibri" w:cs="Calibri"/>
        </w:rPr>
      </w:pPr>
    </w:p>
    <w:p w14:paraId="67AD0B27" w14:textId="77777777" w:rsidR="00640056" w:rsidRDefault="00640056" w:rsidP="000F504B">
      <w:pPr>
        <w:suppressAutoHyphens/>
        <w:autoSpaceDN w:val="0"/>
        <w:spacing w:after="0" w:line="276" w:lineRule="auto"/>
        <w:ind w:left="0"/>
        <w:jc w:val="both"/>
        <w:rPr>
          <w:rFonts w:ascii="Calibri" w:hAnsi="Calibri" w:cs="Calibri"/>
        </w:rPr>
      </w:pPr>
    </w:p>
    <w:p w14:paraId="26FEC385" w14:textId="7BEFAC02" w:rsidR="001E1449" w:rsidRPr="00491671" w:rsidRDefault="00640056" w:rsidP="000F504B">
      <w:pPr>
        <w:suppressAutoHyphens/>
        <w:autoSpaceDN w:val="0"/>
        <w:spacing w:after="0" w:line="276" w:lineRule="auto"/>
        <w:ind w:left="0"/>
        <w:jc w:val="both"/>
        <w:rPr>
          <w:rFonts w:ascii="Calibri" w:hAnsi="Calibri" w:cs="Calibri"/>
        </w:rPr>
      </w:pPr>
      <w:r>
        <w:rPr>
          <w:rFonts w:ascii="Calibri" w:hAnsi="Calibri" w:cs="Calibri"/>
        </w:rPr>
        <w:lastRenderedPageBreak/>
        <w:t xml:space="preserve">           </w:t>
      </w:r>
      <w:r w:rsidR="001E1449">
        <w:rPr>
          <w:rFonts w:ascii="Calibri" w:hAnsi="Calibri" w:cs="Calibri"/>
        </w:rPr>
        <w:t>Figure 3.6.3</w:t>
      </w:r>
    </w:p>
    <w:p w14:paraId="5DDC68E4" w14:textId="6080F347" w:rsidR="00591F99" w:rsidRDefault="001E1449" w:rsidP="000F504B">
      <w:pPr>
        <w:ind w:left="0"/>
        <w:jc w:val="both"/>
        <w:rPr>
          <w:rFonts w:ascii="Arial" w:hAnsi="Arial" w:cs="Arial"/>
          <w:sz w:val="52"/>
          <w:szCs w:val="52"/>
        </w:rPr>
      </w:pPr>
      <w:r>
        <w:rPr>
          <w:rFonts w:ascii="Arial" w:hAnsi="Arial" w:cs="Arial"/>
          <w:sz w:val="52"/>
          <w:szCs w:val="52"/>
        </w:rPr>
        <w:t xml:space="preserve">    </w:t>
      </w:r>
      <w:r w:rsidR="00031DFD">
        <w:rPr>
          <w:noProof/>
        </w:rPr>
        <w:drawing>
          <wp:inline distT="0" distB="0" distL="0" distR="0" wp14:anchorId="744583EC" wp14:editId="7FDBAAE5">
            <wp:extent cx="4529469" cy="2467610"/>
            <wp:effectExtent l="0" t="0" r="4445" b="8890"/>
            <wp:docPr id="1811540282" name="Chart 1" descr="Graph showing pay gap trend data for Medical and Dental Staff">
              <a:extLst xmlns:a="http://schemas.openxmlformats.org/drawingml/2006/main">
                <a:ext uri="{FF2B5EF4-FFF2-40B4-BE49-F238E27FC236}">
                  <a16:creationId xmlns:a16="http://schemas.microsoft.com/office/drawing/2014/main" id="{634F68EF-5201-409D-AABB-25635C76A0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0F2B76" w14:textId="77777777" w:rsidR="000F504B" w:rsidRDefault="000F504B" w:rsidP="000F504B">
      <w:pPr>
        <w:spacing w:after="0"/>
        <w:ind w:left="0"/>
        <w:jc w:val="both"/>
        <w:rPr>
          <w:rFonts w:ascii="Calibri" w:hAnsi="Calibri" w:cs="Calibri"/>
        </w:rPr>
      </w:pPr>
    </w:p>
    <w:p w14:paraId="228AF9E9" w14:textId="77777777" w:rsidR="003B5744" w:rsidRDefault="00024988" w:rsidP="003B5744">
      <w:pPr>
        <w:spacing w:after="0"/>
        <w:rPr>
          <w:rFonts w:ascii="Calibri" w:hAnsi="Calibri" w:cs="Calibri"/>
        </w:rPr>
      </w:pPr>
      <w:r w:rsidRPr="00024988">
        <w:rPr>
          <w:rFonts w:ascii="Calibri" w:hAnsi="Calibri" w:cs="Calibri"/>
        </w:rPr>
        <w:t>3.7</w:t>
      </w:r>
      <w:r w:rsidR="000F504B">
        <w:rPr>
          <w:rFonts w:ascii="Calibri" w:hAnsi="Calibri" w:cs="Calibri"/>
        </w:rPr>
        <w:t xml:space="preserve">   </w:t>
      </w:r>
      <w:r w:rsidR="00D84664">
        <w:rPr>
          <w:rFonts w:ascii="Calibri" w:hAnsi="Calibri" w:cs="Calibri"/>
        </w:rPr>
        <w:t xml:space="preserve">  </w:t>
      </w:r>
      <w:r w:rsidR="003B5744" w:rsidRPr="000641E3">
        <w:rPr>
          <w:rFonts w:ascii="Calibri" w:hAnsi="Calibri" w:cs="Calibri"/>
        </w:rPr>
        <w:t xml:space="preserve">Pay gap data show a general decrease in both median and mean gaps between male </w:t>
      </w:r>
      <w:r w:rsidR="003B5744">
        <w:rPr>
          <w:rFonts w:ascii="Calibri" w:hAnsi="Calibri" w:cs="Calibri"/>
        </w:rPr>
        <w:t xml:space="preserve">   </w:t>
      </w:r>
    </w:p>
    <w:p w14:paraId="45469F2F" w14:textId="525D477B" w:rsidR="003B5744" w:rsidRDefault="003B5744" w:rsidP="003B5744">
      <w:pPr>
        <w:spacing w:after="0"/>
        <w:rPr>
          <w:rFonts w:ascii="Calibri" w:hAnsi="Calibri" w:cs="Calibri"/>
        </w:rPr>
      </w:pPr>
      <w:r>
        <w:rPr>
          <w:rFonts w:ascii="Calibri" w:hAnsi="Calibri" w:cs="Calibri"/>
        </w:rPr>
        <w:t xml:space="preserve">         </w:t>
      </w:r>
      <w:r w:rsidR="00E16995">
        <w:rPr>
          <w:rFonts w:ascii="Calibri" w:hAnsi="Calibri" w:cs="Calibri"/>
        </w:rPr>
        <w:t xml:space="preserve"> </w:t>
      </w:r>
      <w:r>
        <w:rPr>
          <w:rFonts w:ascii="Calibri" w:hAnsi="Calibri" w:cs="Calibri"/>
        </w:rPr>
        <w:t xml:space="preserve"> </w:t>
      </w:r>
      <w:r w:rsidRPr="000641E3">
        <w:rPr>
          <w:rFonts w:ascii="Calibri" w:hAnsi="Calibri" w:cs="Calibri"/>
        </w:rPr>
        <w:t xml:space="preserve">and female employees across all staff groups, including Medical and Dental staff. This </w:t>
      </w:r>
      <w:r>
        <w:rPr>
          <w:rFonts w:ascii="Calibri" w:hAnsi="Calibri" w:cs="Calibri"/>
        </w:rPr>
        <w:t xml:space="preserve">    </w:t>
      </w:r>
    </w:p>
    <w:p w14:paraId="05E7DF7C" w14:textId="5F8C1698" w:rsidR="003B5744" w:rsidRPr="00DF268B" w:rsidRDefault="003B5744" w:rsidP="003B5744">
      <w:pPr>
        <w:spacing w:after="0"/>
        <w:rPr>
          <w:rFonts w:ascii="Calibri" w:hAnsi="Calibri" w:cs="Calibri"/>
        </w:rPr>
      </w:pPr>
      <w:r>
        <w:rPr>
          <w:rFonts w:ascii="Calibri" w:hAnsi="Calibri" w:cs="Calibri"/>
        </w:rPr>
        <w:t xml:space="preserve">          </w:t>
      </w:r>
      <w:r w:rsidR="00E16995">
        <w:rPr>
          <w:rFonts w:ascii="Calibri" w:hAnsi="Calibri" w:cs="Calibri"/>
        </w:rPr>
        <w:t xml:space="preserve"> </w:t>
      </w:r>
      <w:r w:rsidRPr="000641E3">
        <w:rPr>
          <w:rFonts w:ascii="Calibri" w:hAnsi="Calibri" w:cs="Calibri"/>
        </w:rPr>
        <w:t xml:space="preserve">improvement is partly due to a national pay award for resident doctors, </w:t>
      </w:r>
      <w:r w:rsidRPr="00DF268B">
        <w:rPr>
          <w:rFonts w:ascii="Calibri" w:hAnsi="Calibri" w:cs="Calibri"/>
        </w:rPr>
        <w:t xml:space="preserve">53% of whom </w:t>
      </w:r>
    </w:p>
    <w:p w14:paraId="33A8F925" w14:textId="1C4BBF0E" w:rsidR="003B5744" w:rsidRDefault="003B5744" w:rsidP="003B5744">
      <w:pPr>
        <w:spacing w:after="0"/>
        <w:rPr>
          <w:rFonts w:ascii="Calibri" w:hAnsi="Calibri" w:cs="Calibri"/>
        </w:rPr>
      </w:pPr>
      <w:r w:rsidRPr="00DF268B">
        <w:rPr>
          <w:rFonts w:ascii="Calibri" w:hAnsi="Calibri" w:cs="Calibri"/>
        </w:rPr>
        <w:t xml:space="preserve">         </w:t>
      </w:r>
      <w:r w:rsidR="00E16995" w:rsidRPr="00DF268B">
        <w:rPr>
          <w:rFonts w:ascii="Calibri" w:hAnsi="Calibri" w:cs="Calibri"/>
        </w:rPr>
        <w:t xml:space="preserve"> </w:t>
      </w:r>
      <w:r w:rsidRPr="00DF268B">
        <w:rPr>
          <w:rFonts w:ascii="Calibri" w:hAnsi="Calibri" w:cs="Calibri"/>
        </w:rPr>
        <w:t xml:space="preserve"> are female trainees. However, for staff on Agenda for Change terms, the pay gap</w:t>
      </w:r>
      <w:r w:rsidRPr="000641E3">
        <w:rPr>
          <w:rFonts w:ascii="Calibri" w:hAnsi="Calibri" w:cs="Calibri"/>
        </w:rPr>
        <w:t xml:space="preserve"> </w:t>
      </w:r>
      <w:r>
        <w:rPr>
          <w:rFonts w:ascii="Calibri" w:hAnsi="Calibri" w:cs="Calibri"/>
        </w:rPr>
        <w:t xml:space="preserve"> </w:t>
      </w:r>
    </w:p>
    <w:p w14:paraId="0B891CCD" w14:textId="20ED3CE7" w:rsidR="003B5744" w:rsidRPr="003B5744" w:rsidRDefault="003B5744" w:rsidP="003B5744">
      <w:pPr>
        <w:spacing w:after="0"/>
        <w:rPr>
          <w:rFonts w:ascii="Calibri" w:hAnsi="Calibri" w:cs="Calibri"/>
        </w:rPr>
      </w:pPr>
      <w:r>
        <w:rPr>
          <w:rFonts w:ascii="Calibri" w:hAnsi="Calibri" w:cs="Calibri"/>
        </w:rPr>
        <w:t xml:space="preserve">          </w:t>
      </w:r>
      <w:r w:rsidR="00E16995">
        <w:rPr>
          <w:rFonts w:ascii="Calibri" w:hAnsi="Calibri" w:cs="Calibri"/>
        </w:rPr>
        <w:t xml:space="preserve"> </w:t>
      </w:r>
      <w:r w:rsidRPr="000641E3">
        <w:rPr>
          <w:rFonts w:ascii="Calibri" w:hAnsi="Calibri" w:cs="Calibri"/>
        </w:rPr>
        <w:t>increased by 1.8% compared to the previous year</w:t>
      </w:r>
      <w:r>
        <w:t>.</w:t>
      </w:r>
    </w:p>
    <w:p w14:paraId="3ABCB69D" w14:textId="2622A750" w:rsidR="00A7100F" w:rsidRPr="000E6B27" w:rsidRDefault="00A7100F" w:rsidP="00D84664">
      <w:pPr>
        <w:spacing w:after="0"/>
        <w:ind w:left="0"/>
        <w:jc w:val="both"/>
        <w:rPr>
          <w:rFonts w:ascii="Calibri" w:hAnsi="Calibri" w:cs="Calibri"/>
          <w:b/>
          <w:bCs/>
        </w:rPr>
      </w:pPr>
    </w:p>
    <w:p w14:paraId="160C019F" w14:textId="51296A11" w:rsidR="00A7100F" w:rsidRPr="00394EC9" w:rsidRDefault="00394EC9" w:rsidP="00394EC9">
      <w:pPr>
        <w:pStyle w:val="Heading2"/>
        <w:ind w:left="-510"/>
      </w:pPr>
      <w:r>
        <w:t xml:space="preserve">       </w:t>
      </w:r>
      <w:r w:rsidR="00A7100F" w:rsidRPr="00394EC9">
        <w:t xml:space="preserve">3.8   </w:t>
      </w:r>
      <w:r w:rsidR="00891D98">
        <w:t xml:space="preserve"> </w:t>
      </w:r>
      <w:r w:rsidR="00A7100F" w:rsidRPr="00394EC9">
        <w:t>Gender Pay Gap Quartile data</w:t>
      </w:r>
    </w:p>
    <w:p w14:paraId="3D31C914" w14:textId="047F0D15" w:rsidR="00E16995" w:rsidRDefault="00A7100F" w:rsidP="00A7100F">
      <w:pPr>
        <w:pStyle w:val="NormalWeb"/>
        <w:spacing w:before="0" w:beforeAutospacing="0" w:after="0" w:afterAutospacing="0"/>
        <w:rPr>
          <w:rStyle w:val="Strong"/>
          <w:rFonts w:ascii="Calibri" w:eastAsiaTheme="majorEastAsia" w:hAnsi="Calibri" w:cs="Calibri"/>
          <w:b w:val="0"/>
          <w:bCs w:val="0"/>
        </w:rPr>
      </w:pPr>
      <w:r>
        <w:rPr>
          <w:rFonts w:ascii="Calibri" w:hAnsi="Calibri" w:cs="Calibri"/>
        </w:rPr>
        <w:t xml:space="preserve">          </w:t>
      </w:r>
      <w:r w:rsidR="00891D98">
        <w:rPr>
          <w:rFonts w:ascii="Calibri" w:hAnsi="Calibri" w:cs="Calibri"/>
        </w:rPr>
        <w:t xml:space="preserve"> </w:t>
      </w:r>
      <w:r w:rsidRPr="00A7100F">
        <w:rPr>
          <w:rFonts w:ascii="Calibri" w:hAnsi="Calibri" w:cs="Calibri"/>
        </w:rPr>
        <w:t xml:space="preserve">Pay quartiles reveal </w:t>
      </w:r>
      <w:r w:rsidRPr="00A7100F">
        <w:rPr>
          <w:rStyle w:val="Strong"/>
          <w:rFonts w:ascii="Calibri" w:eastAsiaTheme="majorEastAsia" w:hAnsi="Calibri" w:cs="Calibri"/>
          <w:b w:val="0"/>
          <w:bCs w:val="0"/>
        </w:rPr>
        <w:t>how men and women are represented across the pay structure</w:t>
      </w:r>
      <w:r>
        <w:rPr>
          <w:rStyle w:val="Strong"/>
          <w:rFonts w:ascii="Calibri" w:eastAsiaTheme="majorEastAsia" w:hAnsi="Calibri" w:cs="Calibri"/>
          <w:b w:val="0"/>
          <w:bCs w:val="0"/>
        </w:rPr>
        <w:t xml:space="preserve"> </w:t>
      </w:r>
      <w:r w:rsidR="00E16995">
        <w:rPr>
          <w:rStyle w:val="Strong"/>
          <w:rFonts w:ascii="Calibri" w:eastAsiaTheme="majorEastAsia" w:hAnsi="Calibri" w:cs="Calibri"/>
          <w:b w:val="0"/>
          <w:bCs w:val="0"/>
        </w:rPr>
        <w:t xml:space="preserve">   </w:t>
      </w:r>
    </w:p>
    <w:p w14:paraId="34569E8C" w14:textId="1925909C" w:rsidR="00A7100F" w:rsidRPr="00E16995" w:rsidRDefault="00E16995" w:rsidP="00A7100F">
      <w:pPr>
        <w:pStyle w:val="NormalWeb"/>
        <w:spacing w:before="0" w:beforeAutospacing="0" w:after="0" w:afterAutospacing="0"/>
        <w:rPr>
          <w:rFonts w:ascii="Calibri" w:eastAsiaTheme="majorEastAsia" w:hAnsi="Calibri" w:cs="Calibri"/>
        </w:rPr>
      </w:pPr>
      <w:r>
        <w:rPr>
          <w:rStyle w:val="Strong"/>
          <w:rFonts w:ascii="Calibri" w:eastAsiaTheme="majorEastAsia" w:hAnsi="Calibri" w:cs="Calibri"/>
          <w:b w:val="0"/>
          <w:bCs w:val="0"/>
        </w:rPr>
        <w:t xml:space="preserve">          </w:t>
      </w:r>
      <w:r w:rsidR="00891D98">
        <w:rPr>
          <w:rStyle w:val="Strong"/>
          <w:rFonts w:ascii="Calibri" w:eastAsiaTheme="majorEastAsia" w:hAnsi="Calibri" w:cs="Calibri"/>
          <w:b w:val="0"/>
          <w:bCs w:val="0"/>
        </w:rPr>
        <w:t xml:space="preserve"> </w:t>
      </w:r>
      <w:r w:rsidR="00A7100F">
        <w:rPr>
          <w:rStyle w:val="Strong"/>
          <w:rFonts w:ascii="Calibri" w:eastAsiaTheme="majorEastAsia" w:hAnsi="Calibri" w:cs="Calibri"/>
          <w:b w:val="0"/>
          <w:bCs w:val="0"/>
        </w:rPr>
        <w:t xml:space="preserve">for example </w:t>
      </w:r>
      <w:r w:rsidR="00A7100F" w:rsidRPr="00A7100F">
        <w:rPr>
          <w:rFonts w:ascii="Calibri" w:hAnsi="Calibri" w:cs="Calibri"/>
        </w:rPr>
        <w:t>:</w:t>
      </w:r>
    </w:p>
    <w:p w14:paraId="37CBFAA6" w14:textId="77777777" w:rsidR="00A7100F" w:rsidRPr="00A7100F" w:rsidRDefault="00A7100F" w:rsidP="00A7100F">
      <w:pPr>
        <w:pStyle w:val="NormalWeb"/>
        <w:numPr>
          <w:ilvl w:val="0"/>
          <w:numId w:val="33"/>
        </w:numPr>
        <w:rPr>
          <w:rFonts w:ascii="Calibri" w:hAnsi="Calibri" w:cs="Calibri"/>
        </w:rPr>
      </w:pPr>
      <w:r w:rsidRPr="00A7100F">
        <w:rPr>
          <w:rFonts w:ascii="Calibri" w:hAnsi="Calibri" w:cs="Calibri"/>
        </w:rPr>
        <w:t xml:space="preserve">If </w:t>
      </w:r>
      <w:r w:rsidRPr="00A7100F">
        <w:rPr>
          <w:rStyle w:val="Strong"/>
          <w:rFonts w:ascii="Calibri" w:eastAsiaTheme="majorEastAsia" w:hAnsi="Calibri" w:cs="Calibri"/>
          <w:b w:val="0"/>
          <w:bCs w:val="0"/>
        </w:rPr>
        <w:t>more women</w:t>
      </w:r>
      <w:r w:rsidRPr="00A7100F">
        <w:rPr>
          <w:rFonts w:ascii="Calibri" w:hAnsi="Calibri" w:cs="Calibri"/>
        </w:rPr>
        <w:t xml:space="preserve"> are in the </w:t>
      </w:r>
      <w:r w:rsidRPr="00A7100F">
        <w:rPr>
          <w:rStyle w:val="Strong"/>
          <w:rFonts w:ascii="Calibri" w:eastAsiaTheme="majorEastAsia" w:hAnsi="Calibri" w:cs="Calibri"/>
          <w:b w:val="0"/>
          <w:bCs w:val="0"/>
        </w:rPr>
        <w:t>lower quartiles</w:t>
      </w:r>
      <w:r w:rsidRPr="00A7100F">
        <w:rPr>
          <w:rFonts w:ascii="Calibri" w:hAnsi="Calibri" w:cs="Calibri"/>
        </w:rPr>
        <w:t xml:space="preserve"> and </w:t>
      </w:r>
      <w:r w:rsidRPr="00A7100F">
        <w:rPr>
          <w:rStyle w:val="Strong"/>
          <w:rFonts w:ascii="Calibri" w:eastAsiaTheme="majorEastAsia" w:hAnsi="Calibri" w:cs="Calibri"/>
          <w:b w:val="0"/>
          <w:bCs w:val="0"/>
        </w:rPr>
        <w:t>more men</w:t>
      </w:r>
      <w:r w:rsidRPr="00A7100F">
        <w:rPr>
          <w:rFonts w:ascii="Calibri" w:hAnsi="Calibri" w:cs="Calibri"/>
        </w:rPr>
        <w:t xml:space="preserve"> are in the </w:t>
      </w:r>
      <w:r w:rsidRPr="00A7100F">
        <w:rPr>
          <w:rStyle w:val="Strong"/>
          <w:rFonts w:ascii="Calibri" w:eastAsiaTheme="majorEastAsia" w:hAnsi="Calibri" w:cs="Calibri"/>
          <w:b w:val="0"/>
          <w:bCs w:val="0"/>
        </w:rPr>
        <w:t>upper quartiles</w:t>
      </w:r>
      <w:r w:rsidRPr="00A7100F">
        <w:rPr>
          <w:rFonts w:ascii="Calibri" w:hAnsi="Calibri" w:cs="Calibri"/>
        </w:rPr>
        <w:t xml:space="preserve">, it suggests a </w:t>
      </w:r>
      <w:r w:rsidRPr="00A7100F">
        <w:rPr>
          <w:rStyle w:val="Strong"/>
          <w:rFonts w:ascii="Calibri" w:eastAsiaTheme="majorEastAsia" w:hAnsi="Calibri" w:cs="Calibri"/>
          <w:b w:val="0"/>
          <w:bCs w:val="0"/>
        </w:rPr>
        <w:t>gender imbalance in higher-paying roles</w:t>
      </w:r>
      <w:r w:rsidRPr="00A7100F">
        <w:rPr>
          <w:rFonts w:ascii="Calibri" w:hAnsi="Calibri" w:cs="Calibri"/>
        </w:rPr>
        <w:t>, which may contribute to a gender pay gap.</w:t>
      </w:r>
    </w:p>
    <w:p w14:paraId="275B76F1" w14:textId="4B8F758E" w:rsidR="00A7100F" w:rsidRPr="00A7100F" w:rsidRDefault="00A7100F" w:rsidP="00A7100F">
      <w:pPr>
        <w:pStyle w:val="NormalWeb"/>
        <w:numPr>
          <w:ilvl w:val="0"/>
          <w:numId w:val="33"/>
        </w:numPr>
        <w:rPr>
          <w:rFonts w:ascii="Calibri" w:hAnsi="Calibri" w:cs="Calibri"/>
        </w:rPr>
      </w:pPr>
      <w:r w:rsidRPr="00A7100F">
        <w:rPr>
          <w:rFonts w:ascii="Calibri" w:hAnsi="Calibri" w:cs="Calibri"/>
        </w:rPr>
        <w:t xml:space="preserve">If the gender split is </w:t>
      </w:r>
      <w:r w:rsidRPr="00A7100F">
        <w:rPr>
          <w:rStyle w:val="Strong"/>
          <w:rFonts w:ascii="Calibri" w:eastAsiaTheme="majorEastAsia" w:hAnsi="Calibri" w:cs="Calibri"/>
          <w:b w:val="0"/>
          <w:bCs w:val="0"/>
        </w:rPr>
        <w:t>fairly even across all quartiles</w:t>
      </w:r>
      <w:r w:rsidRPr="00A7100F">
        <w:rPr>
          <w:rFonts w:ascii="Calibri" w:hAnsi="Calibri" w:cs="Calibri"/>
        </w:rPr>
        <w:t>, th</w:t>
      </w:r>
      <w:r w:rsidR="000E6B27">
        <w:rPr>
          <w:rFonts w:ascii="Calibri" w:hAnsi="Calibri" w:cs="Calibri"/>
        </w:rPr>
        <w:t>is</w:t>
      </w:r>
      <w:r w:rsidRPr="00A7100F">
        <w:rPr>
          <w:rFonts w:ascii="Calibri" w:hAnsi="Calibri" w:cs="Calibri"/>
        </w:rPr>
        <w:t xml:space="preserve"> suggests a more </w:t>
      </w:r>
      <w:r w:rsidRPr="00A7100F">
        <w:rPr>
          <w:rStyle w:val="Strong"/>
          <w:rFonts w:ascii="Calibri" w:eastAsiaTheme="majorEastAsia" w:hAnsi="Calibri" w:cs="Calibri"/>
          <w:b w:val="0"/>
          <w:bCs w:val="0"/>
        </w:rPr>
        <w:t>balanced pay structure</w:t>
      </w:r>
      <w:r w:rsidRPr="00A7100F">
        <w:rPr>
          <w:rFonts w:ascii="Calibri" w:hAnsi="Calibri" w:cs="Calibri"/>
        </w:rPr>
        <w:t xml:space="preserve"> and more equal opportunities for men and women across the organisation.</w:t>
      </w:r>
    </w:p>
    <w:p w14:paraId="5DF2E6AC" w14:textId="4DFE81C8" w:rsidR="000E6B27" w:rsidRDefault="00A7100F" w:rsidP="000F504B">
      <w:pPr>
        <w:spacing w:after="0"/>
        <w:ind w:left="0"/>
        <w:jc w:val="both"/>
        <w:rPr>
          <w:rFonts w:ascii="Calibri" w:hAnsi="Calibri" w:cs="Calibri"/>
        </w:rPr>
      </w:pPr>
      <w:r>
        <w:rPr>
          <w:rFonts w:ascii="Calibri" w:hAnsi="Calibri" w:cs="Calibri"/>
        </w:rPr>
        <w:t xml:space="preserve">          </w:t>
      </w:r>
      <w:r w:rsidR="00D74C53">
        <w:rPr>
          <w:rFonts w:ascii="Calibri" w:hAnsi="Calibri" w:cs="Calibri"/>
        </w:rPr>
        <w:t xml:space="preserve"> </w:t>
      </w:r>
      <w:r w:rsidR="002D02E1">
        <w:rPr>
          <w:rFonts w:ascii="Calibri" w:hAnsi="Calibri" w:cs="Calibri"/>
        </w:rPr>
        <w:t xml:space="preserve"> </w:t>
      </w:r>
      <w:r w:rsidR="00110736">
        <w:rPr>
          <w:rFonts w:ascii="Calibri" w:hAnsi="Calibri" w:cs="Calibri"/>
        </w:rPr>
        <w:t xml:space="preserve"> </w:t>
      </w:r>
      <w:r>
        <w:rPr>
          <w:rFonts w:ascii="Calibri" w:hAnsi="Calibri" w:cs="Calibri"/>
        </w:rPr>
        <w:t>Figure 3.8.1</w:t>
      </w:r>
      <w:r w:rsidR="000E6B27">
        <w:rPr>
          <w:rFonts w:ascii="Calibri" w:hAnsi="Calibri" w:cs="Calibri"/>
        </w:rPr>
        <w:t xml:space="preserve"> below</w:t>
      </w:r>
      <w:r>
        <w:rPr>
          <w:rFonts w:ascii="Calibri" w:hAnsi="Calibri" w:cs="Calibri"/>
        </w:rPr>
        <w:t xml:space="preserve"> </w:t>
      </w:r>
      <w:r w:rsidR="000E6B27">
        <w:rPr>
          <w:rFonts w:ascii="Calibri" w:hAnsi="Calibri" w:cs="Calibri"/>
        </w:rPr>
        <w:t>shows</w:t>
      </w:r>
      <w:r>
        <w:rPr>
          <w:rFonts w:ascii="Calibri" w:hAnsi="Calibri" w:cs="Calibri"/>
        </w:rPr>
        <w:t xml:space="preserve"> how male and female employees are distributed across the</w:t>
      </w:r>
      <w:r w:rsidR="000E6B27">
        <w:rPr>
          <w:rFonts w:ascii="Calibri" w:hAnsi="Calibri" w:cs="Calibri"/>
        </w:rPr>
        <w:t xml:space="preserve">  </w:t>
      </w:r>
    </w:p>
    <w:p w14:paraId="69B4CEC6" w14:textId="37C5B903" w:rsidR="00A7100F" w:rsidRDefault="000E6B27" w:rsidP="000F504B">
      <w:pPr>
        <w:spacing w:after="0"/>
        <w:ind w:left="0"/>
        <w:jc w:val="both"/>
        <w:rPr>
          <w:rFonts w:ascii="Calibri" w:hAnsi="Calibri" w:cs="Calibri"/>
        </w:rPr>
      </w:pPr>
      <w:r>
        <w:rPr>
          <w:rFonts w:ascii="Calibri" w:hAnsi="Calibri" w:cs="Calibri"/>
        </w:rPr>
        <w:t xml:space="preserve">          </w:t>
      </w:r>
      <w:r w:rsidR="00D74C53">
        <w:rPr>
          <w:rFonts w:ascii="Calibri" w:hAnsi="Calibri" w:cs="Calibri"/>
        </w:rPr>
        <w:t xml:space="preserve"> </w:t>
      </w:r>
      <w:r w:rsidR="00BF26AA">
        <w:rPr>
          <w:rFonts w:ascii="Calibri" w:hAnsi="Calibri" w:cs="Calibri"/>
        </w:rPr>
        <w:t xml:space="preserve"> </w:t>
      </w:r>
      <w:r w:rsidR="00110736">
        <w:rPr>
          <w:rFonts w:ascii="Calibri" w:hAnsi="Calibri" w:cs="Calibri"/>
        </w:rPr>
        <w:t xml:space="preserve"> </w:t>
      </w:r>
      <w:r>
        <w:rPr>
          <w:rFonts w:ascii="Calibri" w:hAnsi="Calibri" w:cs="Calibri"/>
        </w:rPr>
        <w:t xml:space="preserve">different pay levels within Sandwell and West Birmingham. </w:t>
      </w:r>
    </w:p>
    <w:p w14:paraId="349DC8E4" w14:textId="77777777" w:rsidR="000E6B27" w:rsidRDefault="000E6B27" w:rsidP="000F504B">
      <w:pPr>
        <w:spacing w:after="0"/>
        <w:ind w:left="0"/>
        <w:jc w:val="both"/>
        <w:rPr>
          <w:rFonts w:ascii="Calibri" w:hAnsi="Calibri" w:cs="Calibri"/>
        </w:rPr>
      </w:pPr>
    </w:p>
    <w:p w14:paraId="7FCB18C5" w14:textId="58F2AFBC" w:rsidR="00BF26AA" w:rsidRDefault="00D74C53" w:rsidP="000F504B">
      <w:pPr>
        <w:spacing w:after="0"/>
        <w:ind w:left="0"/>
        <w:jc w:val="both"/>
        <w:rPr>
          <w:rFonts w:ascii="Calibri" w:hAnsi="Calibri" w:cs="Calibri"/>
        </w:rPr>
      </w:pPr>
      <w:r>
        <w:rPr>
          <w:rFonts w:ascii="Calibri" w:hAnsi="Calibri" w:cs="Calibri"/>
        </w:rPr>
        <w:lastRenderedPageBreak/>
        <w:t xml:space="preserve">           </w:t>
      </w:r>
      <w:r>
        <w:rPr>
          <w:noProof/>
        </w:rPr>
        <w:drawing>
          <wp:inline distT="0" distB="0" distL="0" distR="0" wp14:anchorId="110B20FF" wp14:editId="65A36E94">
            <wp:extent cx="4806950" cy="2273300"/>
            <wp:effectExtent l="0" t="0" r="12700" b="12700"/>
            <wp:docPr id="115519992" name="Chart 1" descr="Graph showing pay gap quartile data for 24/25">
              <a:extLst xmlns:a="http://schemas.openxmlformats.org/drawingml/2006/main">
                <a:ext uri="{FF2B5EF4-FFF2-40B4-BE49-F238E27FC236}">
                  <a16:creationId xmlns:a16="http://schemas.microsoft.com/office/drawing/2014/main" id="{7342A4A0-8372-9125-46A3-EBB4EF7239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6D6004" w14:textId="15AFC90E" w:rsidR="000E6B27" w:rsidRDefault="000E6B27" w:rsidP="00D74C53">
      <w:pPr>
        <w:spacing w:after="0"/>
        <w:ind w:left="0"/>
        <w:jc w:val="both"/>
        <w:rPr>
          <w:rFonts w:ascii="Calibri" w:hAnsi="Calibri" w:cs="Calibri"/>
        </w:rPr>
      </w:pPr>
    </w:p>
    <w:p w14:paraId="2626FF20" w14:textId="77777777" w:rsidR="00DB7208" w:rsidRPr="006D34D1" w:rsidRDefault="00024988" w:rsidP="00943F80">
      <w:pPr>
        <w:spacing w:after="0"/>
        <w:ind w:left="0"/>
        <w:jc w:val="both"/>
        <w:rPr>
          <w:rFonts w:ascii="Calibri" w:hAnsi="Calibri" w:cs="Calibri"/>
        </w:rPr>
      </w:pPr>
      <w:r>
        <w:rPr>
          <w:rFonts w:ascii="Calibri" w:hAnsi="Calibri" w:cs="Calibri"/>
        </w:rPr>
        <w:t>3.9</w:t>
      </w:r>
      <w:r w:rsidR="000E6B27">
        <w:rPr>
          <w:rFonts w:ascii="Calibri" w:hAnsi="Calibri" w:cs="Calibri"/>
        </w:rPr>
        <w:t xml:space="preserve">      </w:t>
      </w:r>
      <w:r w:rsidR="000E6B27" w:rsidRPr="006D34D1">
        <w:rPr>
          <w:rFonts w:ascii="Calibri" w:hAnsi="Calibri" w:cs="Calibri"/>
        </w:rPr>
        <w:t xml:space="preserve">The table above shows that females and males are broadly distributed evenly in pay </w:t>
      </w:r>
      <w:r w:rsidR="00DB7208" w:rsidRPr="006D34D1">
        <w:rPr>
          <w:rFonts w:ascii="Calibri" w:hAnsi="Calibri" w:cs="Calibri"/>
        </w:rPr>
        <w:t xml:space="preserve"> </w:t>
      </w:r>
    </w:p>
    <w:p w14:paraId="2F710066" w14:textId="2984F667" w:rsidR="00DB7208" w:rsidRPr="006D34D1" w:rsidRDefault="00DB7208" w:rsidP="00943F80">
      <w:pPr>
        <w:spacing w:after="0"/>
        <w:ind w:left="0"/>
        <w:jc w:val="both"/>
        <w:rPr>
          <w:rFonts w:ascii="Calibri" w:hAnsi="Calibri" w:cs="Calibri"/>
        </w:rPr>
      </w:pPr>
      <w:r w:rsidRPr="006D34D1">
        <w:rPr>
          <w:rFonts w:ascii="Calibri" w:hAnsi="Calibri" w:cs="Calibri"/>
        </w:rPr>
        <w:t xml:space="preserve">            </w:t>
      </w:r>
      <w:r w:rsidR="000E6B27" w:rsidRPr="006D34D1">
        <w:rPr>
          <w:rFonts w:ascii="Calibri" w:hAnsi="Calibri" w:cs="Calibri"/>
        </w:rPr>
        <w:t>quartile 1</w:t>
      </w:r>
      <w:r w:rsidRPr="006D34D1">
        <w:rPr>
          <w:rFonts w:ascii="Calibri" w:hAnsi="Calibri" w:cs="Calibri"/>
        </w:rPr>
        <w:t>;</w:t>
      </w:r>
      <w:r w:rsidR="000E6B27" w:rsidRPr="006D34D1">
        <w:rPr>
          <w:rFonts w:ascii="Calibri" w:hAnsi="Calibri" w:cs="Calibri"/>
        </w:rPr>
        <w:t xml:space="preserve"> however, when looking at the distribution of </w:t>
      </w:r>
      <w:r w:rsidRPr="006D34D1">
        <w:rPr>
          <w:rFonts w:ascii="Calibri" w:hAnsi="Calibri" w:cs="Calibri"/>
        </w:rPr>
        <w:t>males</w:t>
      </w:r>
      <w:r w:rsidR="000E6B27" w:rsidRPr="006D34D1">
        <w:rPr>
          <w:rFonts w:ascii="Calibri" w:hAnsi="Calibri" w:cs="Calibri"/>
        </w:rPr>
        <w:t xml:space="preserve"> and females in </w:t>
      </w:r>
    </w:p>
    <w:p w14:paraId="67588556" w14:textId="6E0DDA81" w:rsidR="0010299B" w:rsidRPr="006D34D1" w:rsidRDefault="00DB7208" w:rsidP="00943F80">
      <w:pPr>
        <w:spacing w:after="0"/>
        <w:ind w:left="0"/>
        <w:jc w:val="both"/>
        <w:rPr>
          <w:rFonts w:ascii="Calibri" w:hAnsi="Calibri" w:cs="Calibri"/>
        </w:rPr>
      </w:pPr>
      <w:r w:rsidRPr="006D34D1">
        <w:rPr>
          <w:rFonts w:ascii="Calibri" w:hAnsi="Calibri" w:cs="Calibri"/>
        </w:rPr>
        <w:t xml:space="preserve">            </w:t>
      </w:r>
      <w:r w:rsidR="005412DD" w:rsidRPr="006D34D1">
        <w:rPr>
          <w:rFonts w:ascii="Calibri" w:hAnsi="Calibri" w:cs="Calibri"/>
        </w:rPr>
        <w:t xml:space="preserve">Quartile </w:t>
      </w:r>
      <w:r w:rsidR="000E6B27" w:rsidRPr="006D34D1">
        <w:rPr>
          <w:rFonts w:ascii="Calibri" w:hAnsi="Calibri" w:cs="Calibri"/>
        </w:rPr>
        <w:t>4 (</w:t>
      </w:r>
      <w:r w:rsidR="005412DD" w:rsidRPr="006D34D1">
        <w:rPr>
          <w:rFonts w:ascii="Calibri" w:hAnsi="Calibri" w:cs="Calibri"/>
        </w:rPr>
        <w:t>the</w:t>
      </w:r>
      <w:r w:rsidR="000E6B27" w:rsidRPr="006D34D1">
        <w:rPr>
          <w:rFonts w:ascii="Calibri" w:hAnsi="Calibri" w:cs="Calibri"/>
        </w:rPr>
        <w:t xml:space="preserve"> higher pay</w:t>
      </w:r>
      <w:r w:rsidR="0010299B" w:rsidRPr="006D34D1">
        <w:rPr>
          <w:rFonts w:ascii="Calibri" w:hAnsi="Calibri" w:cs="Calibri"/>
        </w:rPr>
        <w:t xml:space="preserve"> quartile) </w:t>
      </w:r>
      <w:r w:rsidR="005412DD" w:rsidRPr="006D34D1">
        <w:rPr>
          <w:rFonts w:ascii="Calibri" w:hAnsi="Calibri" w:cs="Calibri"/>
        </w:rPr>
        <w:t>has</w:t>
      </w:r>
      <w:r w:rsidR="0010299B" w:rsidRPr="006D34D1">
        <w:rPr>
          <w:rFonts w:ascii="Calibri" w:hAnsi="Calibri" w:cs="Calibri"/>
        </w:rPr>
        <w:t xml:space="preserve"> a higher percentage of male employees  </w:t>
      </w:r>
    </w:p>
    <w:p w14:paraId="5CF0BB30" w14:textId="77777777" w:rsidR="0010299B" w:rsidRPr="006D34D1" w:rsidRDefault="0010299B" w:rsidP="00943F80">
      <w:pPr>
        <w:spacing w:after="0"/>
        <w:ind w:left="0"/>
        <w:jc w:val="both"/>
        <w:rPr>
          <w:rFonts w:ascii="Calibri" w:hAnsi="Calibri" w:cs="Calibri"/>
        </w:rPr>
      </w:pPr>
      <w:r w:rsidRPr="006D34D1">
        <w:rPr>
          <w:rFonts w:ascii="Calibri" w:hAnsi="Calibri" w:cs="Calibri"/>
        </w:rPr>
        <w:t xml:space="preserve">            35.56% compared to 64.44% of females. This indicates a higher distribution of male </w:t>
      </w:r>
    </w:p>
    <w:p w14:paraId="01295044" w14:textId="77777777" w:rsidR="00D705BF" w:rsidRPr="006D34D1" w:rsidRDefault="0010299B" w:rsidP="005412DD">
      <w:pPr>
        <w:spacing w:after="0"/>
        <w:ind w:left="0"/>
        <w:jc w:val="both"/>
        <w:rPr>
          <w:rFonts w:ascii="Calibri" w:hAnsi="Calibri" w:cs="Calibri"/>
        </w:rPr>
      </w:pPr>
      <w:r w:rsidRPr="006D34D1">
        <w:rPr>
          <w:rFonts w:ascii="Calibri" w:hAnsi="Calibri" w:cs="Calibri"/>
        </w:rPr>
        <w:t xml:space="preserve">            employees in the higher pay </w:t>
      </w:r>
      <w:r w:rsidR="005412DD" w:rsidRPr="006D34D1">
        <w:rPr>
          <w:rFonts w:ascii="Calibri" w:hAnsi="Calibri" w:cs="Calibri"/>
        </w:rPr>
        <w:t>quartiles, contributing to the pay gap</w:t>
      </w:r>
      <w:r w:rsidR="00E16995" w:rsidRPr="006D34D1">
        <w:rPr>
          <w:rFonts w:ascii="Calibri" w:hAnsi="Calibri" w:cs="Calibri"/>
        </w:rPr>
        <w:t>,</w:t>
      </w:r>
      <w:r w:rsidR="00713499" w:rsidRPr="006D34D1">
        <w:rPr>
          <w:rFonts w:ascii="Calibri" w:hAnsi="Calibri" w:cs="Calibri"/>
        </w:rPr>
        <w:t xml:space="preserve"> as 22.11 %</w:t>
      </w:r>
      <w:r w:rsidR="00D705BF" w:rsidRPr="006D34D1">
        <w:rPr>
          <w:rFonts w:ascii="Calibri" w:hAnsi="Calibri" w:cs="Calibri"/>
        </w:rPr>
        <w:t xml:space="preserve"> of males</w:t>
      </w:r>
      <w:r w:rsidR="00713499" w:rsidRPr="006D34D1">
        <w:rPr>
          <w:rFonts w:ascii="Calibri" w:hAnsi="Calibri" w:cs="Calibri"/>
        </w:rPr>
        <w:t xml:space="preserve"> </w:t>
      </w:r>
    </w:p>
    <w:p w14:paraId="1369A62A" w14:textId="4ADD17F7" w:rsidR="0010299B" w:rsidRPr="006D34D1" w:rsidRDefault="00D705BF" w:rsidP="005412DD">
      <w:pPr>
        <w:spacing w:after="0"/>
        <w:ind w:left="0"/>
        <w:jc w:val="both"/>
        <w:rPr>
          <w:rFonts w:ascii="Calibri" w:hAnsi="Calibri" w:cs="Calibri"/>
        </w:rPr>
      </w:pPr>
      <w:r w:rsidRPr="006D34D1">
        <w:rPr>
          <w:rFonts w:ascii="Calibri" w:hAnsi="Calibri" w:cs="Calibri"/>
        </w:rPr>
        <w:t xml:space="preserve">            </w:t>
      </w:r>
      <w:r w:rsidR="00713499" w:rsidRPr="006D34D1">
        <w:rPr>
          <w:rFonts w:ascii="Calibri" w:hAnsi="Calibri" w:cs="Calibri"/>
        </w:rPr>
        <w:t>make up the composition of the workforce.</w:t>
      </w:r>
    </w:p>
    <w:p w14:paraId="75321941" w14:textId="77777777" w:rsidR="005412DD" w:rsidRPr="006D34D1" w:rsidRDefault="005412DD" w:rsidP="005412DD">
      <w:pPr>
        <w:spacing w:after="0"/>
        <w:ind w:left="0"/>
        <w:jc w:val="both"/>
        <w:rPr>
          <w:rFonts w:ascii="Calibri" w:hAnsi="Calibri" w:cs="Calibri"/>
        </w:rPr>
      </w:pPr>
    </w:p>
    <w:p w14:paraId="4137A3E9" w14:textId="33CA0F05" w:rsidR="005412DD" w:rsidRPr="006D34D1" w:rsidRDefault="00024988" w:rsidP="005412DD">
      <w:pPr>
        <w:spacing w:after="0"/>
        <w:ind w:left="0"/>
        <w:jc w:val="both"/>
        <w:rPr>
          <w:rFonts w:ascii="Calibri" w:hAnsi="Calibri" w:cs="Calibri"/>
        </w:rPr>
      </w:pPr>
      <w:r w:rsidRPr="006D34D1">
        <w:rPr>
          <w:rFonts w:ascii="Calibri" w:hAnsi="Calibri" w:cs="Calibri"/>
        </w:rPr>
        <w:t>4.0</w:t>
      </w:r>
      <w:r w:rsidR="008C37C8" w:rsidRPr="006D34D1">
        <w:rPr>
          <w:rFonts w:ascii="Calibri" w:hAnsi="Calibri" w:cs="Calibri"/>
        </w:rPr>
        <w:t xml:space="preserve">   </w:t>
      </w:r>
      <w:r w:rsidR="00943F80" w:rsidRPr="006D34D1">
        <w:rPr>
          <w:rFonts w:ascii="Calibri" w:hAnsi="Calibri" w:cs="Calibri"/>
        </w:rPr>
        <w:t xml:space="preserve">   </w:t>
      </w:r>
      <w:r w:rsidR="003B6F67" w:rsidRPr="006D34D1">
        <w:rPr>
          <w:rFonts w:ascii="Calibri" w:hAnsi="Calibri" w:cs="Calibri"/>
        </w:rPr>
        <w:t>Figure 4.0.1</w:t>
      </w:r>
      <w:r w:rsidR="00640056">
        <w:rPr>
          <w:rFonts w:ascii="Calibri" w:hAnsi="Calibri" w:cs="Calibri"/>
        </w:rPr>
        <w:t xml:space="preserve"> below</w:t>
      </w:r>
      <w:r w:rsidR="003B6F67" w:rsidRPr="006D34D1">
        <w:rPr>
          <w:rFonts w:ascii="Calibri" w:hAnsi="Calibri" w:cs="Calibri"/>
        </w:rPr>
        <w:t xml:space="preserve"> </w:t>
      </w:r>
      <w:r w:rsidR="005412DD" w:rsidRPr="006D34D1">
        <w:rPr>
          <w:rFonts w:ascii="Calibri" w:hAnsi="Calibri" w:cs="Calibri"/>
        </w:rPr>
        <w:t xml:space="preserve"> </w:t>
      </w:r>
      <w:r w:rsidR="003B6F67" w:rsidRPr="006D34D1">
        <w:rPr>
          <w:rFonts w:ascii="Calibri" w:hAnsi="Calibri" w:cs="Calibri"/>
        </w:rPr>
        <w:t>provides an anal</w:t>
      </w:r>
      <w:r w:rsidR="005412DD" w:rsidRPr="006D34D1">
        <w:rPr>
          <w:rFonts w:ascii="Calibri" w:hAnsi="Calibri" w:cs="Calibri"/>
        </w:rPr>
        <w:t xml:space="preserve">ysis of male and female colleagues distributed </w:t>
      </w:r>
    </w:p>
    <w:p w14:paraId="26F39539" w14:textId="17916805" w:rsidR="00BF26AA" w:rsidRDefault="005412DD" w:rsidP="00D74C53">
      <w:pPr>
        <w:spacing w:after="0"/>
        <w:ind w:left="0"/>
        <w:jc w:val="both"/>
        <w:rPr>
          <w:rFonts w:ascii="Calibri" w:hAnsi="Calibri" w:cs="Calibri"/>
        </w:rPr>
      </w:pPr>
      <w:r w:rsidRPr="006D34D1">
        <w:rPr>
          <w:rFonts w:ascii="Calibri" w:hAnsi="Calibri" w:cs="Calibri"/>
        </w:rPr>
        <w:t xml:space="preserve">            across the pay bandings</w:t>
      </w:r>
      <w:r w:rsidR="00D95EB9" w:rsidRPr="006D34D1">
        <w:rPr>
          <w:rFonts w:ascii="Calibri" w:hAnsi="Calibri" w:cs="Calibri"/>
        </w:rPr>
        <w:t>,</w:t>
      </w:r>
      <w:r w:rsidRPr="006D34D1">
        <w:rPr>
          <w:rFonts w:ascii="Calibri" w:hAnsi="Calibri" w:cs="Calibri"/>
        </w:rPr>
        <w:t xml:space="preserve"> which includes VSM and Medical and Dental grades</w:t>
      </w:r>
      <w:r w:rsidR="00DB2FD9">
        <w:rPr>
          <w:rFonts w:ascii="Calibri" w:hAnsi="Calibri" w:cs="Calibri"/>
        </w:rPr>
        <w:t>.</w:t>
      </w:r>
    </w:p>
    <w:p w14:paraId="1ACF87E4" w14:textId="593249BE" w:rsidR="00DB2FD9" w:rsidRDefault="00DB2FD9" w:rsidP="00D74C53">
      <w:pPr>
        <w:spacing w:after="0"/>
        <w:ind w:left="0"/>
        <w:jc w:val="both"/>
        <w:rPr>
          <w:rFonts w:ascii="Calibri" w:hAnsi="Calibri" w:cs="Calibri"/>
        </w:rPr>
      </w:pPr>
    </w:p>
    <w:p w14:paraId="1B7D603F" w14:textId="06ABF88F" w:rsidR="00DB2FD9" w:rsidRDefault="00640056" w:rsidP="00D74C53">
      <w:pPr>
        <w:spacing w:after="0"/>
        <w:ind w:left="0"/>
        <w:jc w:val="both"/>
        <w:rPr>
          <w:rFonts w:ascii="Calibri" w:hAnsi="Calibri" w:cs="Calibri"/>
        </w:rPr>
      </w:pPr>
      <w:r>
        <w:rPr>
          <w:rFonts w:ascii="Calibri" w:hAnsi="Calibri" w:cs="Calibri"/>
        </w:rPr>
        <w:t xml:space="preserve">        </w:t>
      </w:r>
      <w:r w:rsidR="00DB2FD9" w:rsidRPr="00DB2FD9">
        <w:rPr>
          <w:noProof/>
        </w:rPr>
        <w:drawing>
          <wp:inline distT="0" distB="0" distL="0" distR="0" wp14:anchorId="490A697D" wp14:editId="1C5994C0">
            <wp:extent cx="5369560" cy="3594735"/>
            <wp:effectExtent l="0" t="0" r="0" b="0"/>
            <wp:docPr id="9206857" name="Picture 2" descr="Table showing the percentage of staff in each of the agenda for change pay sc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6857" name="Picture 2" descr="Table showing the percentage of staff in each of the agenda for change pay scal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9560" cy="3594735"/>
                    </a:xfrm>
                    <a:prstGeom prst="rect">
                      <a:avLst/>
                    </a:prstGeom>
                    <a:noFill/>
                    <a:ln>
                      <a:noFill/>
                    </a:ln>
                  </pic:spPr>
                </pic:pic>
              </a:graphicData>
            </a:graphic>
          </wp:inline>
        </w:drawing>
      </w:r>
    </w:p>
    <w:p w14:paraId="0113325B" w14:textId="77777777" w:rsidR="00DB2FD9" w:rsidRDefault="00DB2FD9" w:rsidP="00D74C53">
      <w:pPr>
        <w:spacing w:after="0"/>
        <w:ind w:left="0"/>
        <w:jc w:val="both"/>
        <w:rPr>
          <w:rFonts w:ascii="Calibri" w:hAnsi="Calibri" w:cs="Calibri"/>
        </w:rPr>
      </w:pPr>
    </w:p>
    <w:p w14:paraId="30CE7E49" w14:textId="5DAE2FA4" w:rsidR="00DB2FD9" w:rsidRDefault="00640056" w:rsidP="00D74C53">
      <w:pPr>
        <w:spacing w:after="0"/>
        <w:ind w:left="0"/>
        <w:jc w:val="both"/>
        <w:rPr>
          <w:rFonts w:ascii="Calibri" w:hAnsi="Calibri" w:cs="Calibri"/>
        </w:rPr>
      </w:pPr>
      <w:r>
        <w:rPr>
          <w:rFonts w:ascii="Calibri" w:hAnsi="Calibri" w:cs="Calibri"/>
        </w:rPr>
        <w:t xml:space="preserve"> </w:t>
      </w:r>
    </w:p>
    <w:p w14:paraId="40525D12" w14:textId="77777777" w:rsidR="00DB2FD9" w:rsidRDefault="00DB2FD9" w:rsidP="00D74C53">
      <w:pPr>
        <w:spacing w:after="0"/>
        <w:ind w:left="0"/>
        <w:jc w:val="both"/>
        <w:rPr>
          <w:rFonts w:ascii="Calibri" w:hAnsi="Calibri" w:cs="Calibri"/>
        </w:rPr>
      </w:pPr>
    </w:p>
    <w:p w14:paraId="3A70088B" w14:textId="77777777" w:rsidR="00DB2FD9" w:rsidRDefault="00DB2FD9" w:rsidP="00D74C53">
      <w:pPr>
        <w:spacing w:after="0"/>
        <w:ind w:left="0"/>
        <w:jc w:val="both"/>
        <w:rPr>
          <w:rFonts w:ascii="Calibri" w:hAnsi="Calibri" w:cs="Calibri"/>
        </w:rPr>
      </w:pPr>
    </w:p>
    <w:p w14:paraId="02705C4D" w14:textId="77777777" w:rsidR="00DB2FD9" w:rsidRDefault="00DB2FD9" w:rsidP="00D74C53">
      <w:pPr>
        <w:spacing w:after="0"/>
        <w:ind w:left="0"/>
        <w:jc w:val="both"/>
        <w:rPr>
          <w:rFonts w:ascii="Calibri" w:hAnsi="Calibri" w:cs="Calibri"/>
        </w:rPr>
      </w:pPr>
    </w:p>
    <w:p w14:paraId="0078A5B6" w14:textId="77777777" w:rsidR="00C012B2" w:rsidRDefault="00C012B2" w:rsidP="00640056">
      <w:pPr>
        <w:pStyle w:val="NormalWeb"/>
        <w:spacing w:before="0" w:beforeAutospacing="0" w:after="0" w:afterAutospacing="0"/>
        <w:rPr>
          <w:rFonts w:ascii="Calibri" w:hAnsi="Calibri" w:cs="Calibri"/>
        </w:rPr>
      </w:pPr>
    </w:p>
    <w:p w14:paraId="34051615" w14:textId="54478C76" w:rsidR="00E16995" w:rsidRPr="00DF268B" w:rsidRDefault="00BF26AA" w:rsidP="00891D98">
      <w:pPr>
        <w:pStyle w:val="Heading2"/>
        <w:ind w:left="-737"/>
      </w:pPr>
      <w:r>
        <w:t xml:space="preserve">      </w:t>
      </w:r>
      <w:r w:rsidR="00891D98">
        <w:t xml:space="preserve">      </w:t>
      </w:r>
      <w:r w:rsidR="00E16995" w:rsidRPr="00E16995">
        <w:t xml:space="preserve">4.1  </w:t>
      </w:r>
      <w:r w:rsidR="00C46A2A">
        <w:t xml:space="preserve"> </w:t>
      </w:r>
      <w:r w:rsidR="00E16995" w:rsidRPr="00DF268B">
        <w:t>Bonus Pay Scheme</w:t>
      </w:r>
    </w:p>
    <w:p w14:paraId="18EBFFA9" w14:textId="0D142339" w:rsidR="00D74C53" w:rsidRDefault="00E16995" w:rsidP="00C012B2">
      <w:pPr>
        <w:pStyle w:val="NormalWeb"/>
        <w:spacing w:before="0" w:beforeAutospacing="0" w:after="0" w:afterAutospacing="0"/>
        <w:ind w:left="-284"/>
        <w:rPr>
          <w:rFonts w:ascii="Calibri" w:hAnsi="Calibri" w:cs="Calibri"/>
        </w:rPr>
      </w:pPr>
      <w:r>
        <w:rPr>
          <w:rFonts w:ascii="Calibri" w:hAnsi="Calibri" w:cs="Calibri"/>
        </w:rPr>
        <w:t xml:space="preserve">           </w:t>
      </w:r>
      <w:r w:rsidR="00A10016">
        <w:rPr>
          <w:rFonts w:ascii="Calibri" w:hAnsi="Calibri" w:cs="Calibri"/>
        </w:rPr>
        <w:t xml:space="preserve"> </w:t>
      </w:r>
      <w:r w:rsidR="00D74C53">
        <w:rPr>
          <w:rFonts w:ascii="Calibri" w:hAnsi="Calibri" w:cs="Calibri"/>
        </w:rPr>
        <w:t xml:space="preserve">     </w:t>
      </w:r>
      <w:r>
        <w:rPr>
          <w:rFonts w:ascii="Calibri" w:hAnsi="Calibri" w:cs="Calibri"/>
        </w:rPr>
        <w:t>Sandwell and West Birmingham NHS Trust does not operate a bonus pay scheme</w:t>
      </w:r>
      <w:r w:rsidR="00C012B2">
        <w:rPr>
          <w:rFonts w:ascii="Calibri" w:hAnsi="Calibri" w:cs="Calibri"/>
        </w:rPr>
        <w:t xml:space="preserve">. </w:t>
      </w:r>
    </w:p>
    <w:p w14:paraId="780D260A" w14:textId="21494CD2" w:rsidR="00D74C53" w:rsidRDefault="00D74C53" w:rsidP="00D74C53">
      <w:pPr>
        <w:pStyle w:val="NormalWeb"/>
        <w:spacing w:before="0" w:beforeAutospacing="0" w:after="0" w:afterAutospacing="0"/>
        <w:ind w:left="-284"/>
        <w:rPr>
          <w:rFonts w:ascii="Calibri" w:hAnsi="Calibri" w:cs="Calibri"/>
        </w:rPr>
      </w:pPr>
      <w:r>
        <w:rPr>
          <w:rFonts w:ascii="Calibri" w:hAnsi="Calibri" w:cs="Calibri"/>
        </w:rPr>
        <w:t xml:space="preserve">                 </w:t>
      </w:r>
      <w:r w:rsidR="00C012B2">
        <w:rPr>
          <w:rFonts w:ascii="Calibri" w:hAnsi="Calibri" w:cs="Calibri"/>
        </w:rPr>
        <w:t xml:space="preserve">This is in line with NHS England’s Agenda for Change terms and conditions, which do </w:t>
      </w:r>
      <w:r>
        <w:rPr>
          <w:rFonts w:ascii="Calibri" w:hAnsi="Calibri" w:cs="Calibri"/>
        </w:rPr>
        <w:t xml:space="preserve">   </w:t>
      </w:r>
    </w:p>
    <w:p w14:paraId="70BB929A" w14:textId="2D689C84" w:rsidR="00E16995" w:rsidRDefault="00D74C53" w:rsidP="00D74C53">
      <w:pPr>
        <w:pStyle w:val="NormalWeb"/>
        <w:spacing w:before="0" w:beforeAutospacing="0" w:after="0" w:afterAutospacing="0"/>
        <w:ind w:left="-284"/>
        <w:rPr>
          <w:rFonts w:ascii="Calibri" w:hAnsi="Calibri" w:cs="Calibri"/>
        </w:rPr>
      </w:pPr>
      <w:r>
        <w:rPr>
          <w:rFonts w:ascii="Calibri" w:hAnsi="Calibri" w:cs="Calibri"/>
        </w:rPr>
        <w:t xml:space="preserve">                 </w:t>
      </w:r>
      <w:r w:rsidR="00C012B2">
        <w:rPr>
          <w:rFonts w:ascii="Calibri" w:hAnsi="Calibri" w:cs="Calibri"/>
        </w:rPr>
        <w:t>not facilitate or provide bonus payments.</w:t>
      </w:r>
    </w:p>
    <w:p w14:paraId="153423DE" w14:textId="77777777" w:rsidR="001A260B" w:rsidRDefault="001A260B" w:rsidP="00C012B2">
      <w:pPr>
        <w:pStyle w:val="NormalWeb"/>
        <w:spacing w:before="0" w:beforeAutospacing="0" w:after="0" w:afterAutospacing="0"/>
        <w:ind w:left="-284"/>
        <w:rPr>
          <w:rFonts w:ascii="Calibri" w:hAnsi="Calibri" w:cs="Calibri"/>
        </w:rPr>
      </w:pPr>
    </w:p>
    <w:p w14:paraId="4503AC39" w14:textId="37F1BE7D" w:rsidR="001A260B" w:rsidRDefault="00D74C53" w:rsidP="001A260B">
      <w:pPr>
        <w:pStyle w:val="NormalWeb"/>
        <w:spacing w:before="0" w:beforeAutospacing="0" w:after="0" w:afterAutospacing="0"/>
        <w:ind w:left="-284"/>
        <w:rPr>
          <w:rFonts w:ascii="Calibri" w:hAnsi="Calibri" w:cs="Calibri"/>
        </w:rPr>
      </w:pPr>
      <w:r>
        <w:rPr>
          <w:rFonts w:ascii="Calibri" w:hAnsi="Calibri" w:cs="Calibri"/>
        </w:rPr>
        <w:t xml:space="preserve">      </w:t>
      </w:r>
      <w:r w:rsidR="00E16995">
        <w:rPr>
          <w:rFonts w:ascii="Calibri" w:hAnsi="Calibri" w:cs="Calibri"/>
        </w:rPr>
        <w:t xml:space="preserve">4.2     </w:t>
      </w:r>
      <w:r>
        <w:rPr>
          <w:rFonts w:ascii="Calibri" w:hAnsi="Calibri" w:cs="Calibri"/>
        </w:rPr>
        <w:t xml:space="preserve"> </w:t>
      </w:r>
      <w:r w:rsidR="001A260B">
        <w:rPr>
          <w:rFonts w:ascii="Calibri" w:hAnsi="Calibri" w:cs="Calibri"/>
        </w:rPr>
        <w:t xml:space="preserve">In accordance with national guidance, Sandwell and West Birmingham NHS Trust has  </w:t>
      </w:r>
    </w:p>
    <w:p w14:paraId="3AA77D3A" w14:textId="56FC7C63" w:rsidR="001A260B" w:rsidRDefault="001A260B" w:rsidP="001A260B">
      <w:pPr>
        <w:pStyle w:val="NormalWeb"/>
        <w:spacing w:before="0" w:beforeAutospacing="0" w:after="0" w:afterAutospacing="0"/>
        <w:ind w:left="-284"/>
        <w:rPr>
          <w:rFonts w:ascii="Calibri" w:hAnsi="Calibri" w:cs="Calibri"/>
        </w:rPr>
      </w:pPr>
      <w:r>
        <w:rPr>
          <w:rFonts w:ascii="Calibri" w:hAnsi="Calibri" w:cs="Calibri"/>
        </w:rPr>
        <w:t xml:space="preserve">           </w:t>
      </w:r>
      <w:r w:rsidR="00D74C53">
        <w:rPr>
          <w:rFonts w:ascii="Calibri" w:hAnsi="Calibri" w:cs="Calibri"/>
        </w:rPr>
        <w:t xml:space="preserve">      </w:t>
      </w:r>
      <w:r>
        <w:rPr>
          <w:rFonts w:ascii="Calibri" w:hAnsi="Calibri" w:cs="Calibri"/>
        </w:rPr>
        <w:t xml:space="preserve">implemented Local Clinical Excellence Awards (LCEA). These awards are designed to  </w:t>
      </w:r>
    </w:p>
    <w:p w14:paraId="54E83EAB" w14:textId="2F3CC612" w:rsidR="001A260B" w:rsidRDefault="001A260B" w:rsidP="00D74C53">
      <w:pPr>
        <w:pStyle w:val="NormalWeb"/>
        <w:spacing w:before="0" w:beforeAutospacing="0" w:after="0" w:afterAutospacing="0"/>
        <w:ind w:left="-284"/>
        <w:rPr>
          <w:rFonts w:ascii="Calibri" w:hAnsi="Calibri" w:cs="Calibri"/>
        </w:rPr>
      </w:pPr>
      <w:r>
        <w:rPr>
          <w:rFonts w:ascii="Calibri" w:hAnsi="Calibri" w:cs="Calibri"/>
        </w:rPr>
        <w:t xml:space="preserve">           </w:t>
      </w:r>
      <w:r w:rsidR="00A10016">
        <w:rPr>
          <w:rFonts w:ascii="Calibri" w:hAnsi="Calibri" w:cs="Calibri"/>
        </w:rPr>
        <w:t xml:space="preserve"> </w:t>
      </w:r>
      <w:r w:rsidR="00D74C53">
        <w:rPr>
          <w:rFonts w:ascii="Calibri" w:hAnsi="Calibri" w:cs="Calibri"/>
        </w:rPr>
        <w:t xml:space="preserve">     </w:t>
      </w:r>
      <w:r>
        <w:rPr>
          <w:rFonts w:ascii="Calibri" w:hAnsi="Calibri" w:cs="Calibri"/>
        </w:rPr>
        <w:t xml:space="preserve">recognise and reward NHS Consultants who demonstrate performance significantly   </w:t>
      </w:r>
    </w:p>
    <w:p w14:paraId="25A00FEE" w14:textId="49876DCA" w:rsidR="001A260B" w:rsidRDefault="001A260B" w:rsidP="00D74C53">
      <w:pPr>
        <w:pStyle w:val="NormalWeb"/>
        <w:spacing w:before="0" w:beforeAutospacing="0" w:after="0" w:afterAutospacing="0"/>
        <w:ind w:left="-284"/>
        <w:rPr>
          <w:rFonts w:ascii="Calibri" w:hAnsi="Calibri" w:cs="Calibri"/>
        </w:rPr>
      </w:pPr>
      <w:r>
        <w:rPr>
          <w:rFonts w:ascii="Calibri" w:hAnsi="Calibri" w:cs="Calibri"/>
        </w:rPr>
        <w:t xml:space="preserve">           </w:t>
      </w:r>
      <w:r w:rsidR="00A10016">
        <w:rPr>
          <w:rFonts w:ascii="Calibri" w:hAnsi="Calibri" w:cs="Calibri"/>
        </w:rPr>
        <w:t xml:space="preserve"> </w:t>
      </w:r>
      <w:r w:rsidR="00D74C53">
        <w:rPr>
          <w:rFonts w:ascii="Calibri" w:hAnsi="Calibri" w:cs="Calibri"/>
        </w:rPr>
        <w:t xml:space="preserve">     </w:t>
      </w:r>
      <w:r>
        <w:rPr>
          <w:rFonts w:ascii="Calibri" w:hAnsi="Calibri" w:cs="Calibri"/>
        </w:rPr>
        <w:t>above the expected standard of their role, highlighting exceptional personal</w:t>
      </w:r>
      <w:r w:rsidR="00D705BF">
        <w:rPr>
          <w:rFonts w:ascii="Calibri" w:hAnsi="Calibri" w:cs="Calibri"/>
        </w:rPr>
        <w:t xml:space="preserve"> </w:t>
      </w:r>
    </w:p>
    <w:p w14:paraId="24653F38" w14:textId="6951738D" w:rsidR="00E16995" w:rsidRDefault="001A260B" w:rsidP="001A260B">
      <w:pPr>
        <w:pStyle w:val="NormalWeb"/>
        <w:spacing w:before="0" w:beforeAutospacing="0" w:after="0" w:afterAutospacing="0"/>
        <w:ind w:left="-284"/>
        <w:rPr>
          <w:rFonts w:ascii="Calibri" w:hAnsi="Calibri" w:cs="Calibri"/>
        </w:rPr>
      </w:pPr>
      <w:r>
        <w:rPr>
          <w:rFonts w:ascii="Calibri" w:hAnsi="Calibri" w:cs="Calibri"/>
        </w:rPr>
        <w:t xml:space="preserve">           </w:t>
      </w:r>
      <w:r w:rsidR="00A10016">
        <w:rPr>
          <w:rFonts w:ascii="Calibri" w:hAnsi="Calibri" w:cs="Calibri"/>
        </w:rPr>
        <w:t xml:space="preserve"> </w:t>
      </w:r>
      <w:r w:rsidR="00D74C53">
        <w:rPr>
          <w:rFonts w:ascii="Calibri" w:hAnsi="Calibri" w:cs="Calibri"/>
        </w:rPr>
        <w:t xml:space="preserve">     </w:t>
      </w:r>
      <w:r>
        <w:rPr>
          <w:rFonts w:ascii="Calibri" w:hAnsi="Calibri" w:cs="Calibri"/>
        </w:rPr>
        <w:t>contributions to patient care and service delivery.</w:t>
      </w:r>
    </w:p>
    <w:p w14:paraId="0532608B" w14:textId="77777777" w:rsidR="001A260B" w:rsidRDefault="001A260B" w:rsidP="001A260B">
      <w:pPr>
        <w:pStyle w:val="NormalWeb"/>
        <w:spacing w:before="0" w:beforeAutospacing="0" w:after="0" w:afterAutospacing="0"/>
        <w:ind w:left="-284"/>
        <w:rPr>
          <w:rFonts w:ascii="Calibri" w:hAnsi="Calibri" w:cs="Calibri"/>
        </w:rPr>
      </w:pPr>
    </w:p>
    <w:p w14:paraId="7622C7D8" w14:textId="6BB6C266" w:rsidR="002D02E1" w:rsidRPr="002D02E1" w:rsidRDefault="00D74C53" w:rsidP="001A260B">
      <w:pPr>
        <w:pStyle w:val="NormalWeb"/>
        <w:spacing w:before="0" w:beforeAutospacing="0" w:after="0" w:afterAutospacing="0"/>
        <w:ind w:left="-284"/>
        <w:rPr>
          <w:rFonts w:ascii="Calibri" w:hAnsi="Calibri" w:cs="Calibri"/>
        </w:rPr>
      </w:pPr>
      <w:r>
        <w:rPr>
          <w:rFonts w:ascii="Calibri" w:hAnsi="Calibri" w:cs="Calibri"/>
        </w:rPr>
        <w:t xml:space="preserve">       </w:t>
      </w:r>
      <w:r w:rsidR="00E16995">
        <w:rPr>
          <w:rFonts w:ascii="Calibri" w:hAnsi="Calibri" w:cs="Calibri"/>
        </w:rPr>
        <w:t>4.3</w:t>
      </w:r>
      <w:r w:rsidR="001A260B">
        <w:rPr>
          <w:rFonts w:ascii="Calibri" w:hAnsi="Calibri" w:cs="Calibri"/>
        </w:rPr>
        <w:t xml:space="preserve">    </w:t>
      </w:r>
      <w:r w:rsidR="002D02E1" w:rsidRPr="002D02E1">
        <w:rPr>
          <w:rFonts w:ascii="Calibri" w:hAnsi="Calibri" w:cs="Calibri"/>
        </w:rPr>
        <w:t xml:space="preserve">The contractual entitlement to participate in the Local Clinical Excellence Award was   </w:t>
      </w:r>
    </w:p>
    <w:p w14:paraId="523F4C06" w14:textId="2311AEEE" w:rsidR="002D02E1" w:rsidRPr="002D02E1" w:rsidRDefault="002D02E1" w:rsidP="00D74C53">
      <w:pPr>
        <w:pStyle w:val="NormalWeb"/>
        <w:spacing w:before="0" w:beforeAutospacing="0" w:after="0" w:afterAutospacing="0"/>
        <w:ind w:left="-284"/>
        <w:rPr>
          <w:rFonts w:ascii="Calibri" w:hAnsi="Calibri" w:cs="Calibri"/>
        </w:rPr>
      </w:pPr>
      <w:r w:rsidRPr="002D02E1">
        <w:rPr>
          <w:rFonts w:ascii="Calibri" w:hAnsi="Calibri" w:cs="Calibri"/>
        </w:rPr>
        <w:t xml:space="preserve">            </w:t>
      </w:r>
      <w:r w:rsidR="00D74C53">
        <w:rPr>
          <w:rFonts w:ascii="Calibri" w:hAnsi="Calibri" w:cs="Calibri"/>
        </w:rPr>
        <w:t xml:space="preserve">     </w:t>
      </w:r>
      <w:r w:rsidRPr="002D02E1">
        <w:rPr>
          <w:rFonts w:ascii="Calibri" w:hAnsi="Calibri" w:cs="Calibri"/>
        </w:rPr>
        <w:t xml:space="preserve">evenly distributed amongst all eligible consultants for the 2021, 2022 and 2023 Local   </w:t>
      </w:r>
    </w:p>
    <w:p w14:paraId="1D8B4EEF" w14:textId="15688E99" w:rsidR="00D74C53" w:rsidRDefault="002D02E1" w:rsidP="00D74C53">
      <w:pPr>
        <w:pStyle w:val="NormalWeb"/>
        <w:spacing w:before="0" w:beforeAutospacing="0" w:after="0" w:afterAutospacing="0"/>
        <w:ind w:left="-284"/>
        <w:rPr>
          <w:rFonts w:ascii="Calibri" w:hAnsi="Calibri" w:cs="Calibri"/>
        </w:rPr>
      </w:pPr>
      <w:r w:rsidRPr="002D02E1">
        <w:rPr>
          <w:rFonts w:ascii="Calibri" w:hAnsi="Calibri" w:cs="Calibri"/>
        </w:rPr>
        <w:t xml:space="preserve">           </w:t>
      </w:r>
      <w:r w:rsidR="00D74C53">
        <w:rPr>
          <w:rFonts w:ascii="Calibri" w:hAnsi="Calibri" w:cs="Calibri"/>
        </w:rPr>
        <w:t xml:space="preserve">     </w:t>
      </w:r>
      <w:r>
        <w:rPr>
          <w:rFonts w:ascii="Calibri" w:hAnsi="Calibri" w:cs="Calibri"/>
        </w:rPr>
        <w:t xml:space="preserve"> </w:t>
      </w:r>
      <w:r w:rsidRPr="002D02E1">
        <w:rPr>
          <w:rFonts w:ascii="Calibri" w:hAnsi="Calibri" w:cs="Calibri"/>
        </w:rPr>
        <w:t xml:space="preserve">Clinical Excellence rounds. Figures 4.3.1 and 4.3.2 show the median and mean </w:t>
      </w:r>
      <w:r w:rsidR="00D74C53">
        <w:rPr>
          <w:rFonts w:ascii="Calibri" w:hAnsi="Calibri" w:cs="Calibri"/>
        </w:rPr>
        <w:t>bonus</w:t>
      </w:r>
    </w:p>
    <w:p w14:paraId="0F739084" w14:textId="7F586763" w:rsidR="002D02E1" w:rsidRPr="002D02E1" w:rsidRDefault="00D74C53" w:rsidP="00D74C53">
      <w:pPr>
        <w:pStyle w:val="NormalWeb"/>
        <w:spacing w:before="0" w:beforeAutospacing="0" w:after="0" w:afterAutospacing="0"/>
        <w:ind w:left="-284"/>
        <w:rPr>
          <w:rFonts w:ascii="Calibri" w:hAnsi="Calibri" w:cs="Calibri"/>
        </w:rPr>
      </w:pPr>
      <w:r>
        <w:rPr>
          <w:rFonts w:ascii="Calibri" w:hAnsi="Calibri" w:cs="Calibri"/>
        </w:rPr>
        <w:t xml:space="preserve">                 Pay </w:t>
      </w:r>
      <w:r w:rsidR="002D02E1" w:rsidRPr="002D02E1">
        <w:rPr>
          <w:rFonts w:ascii="Calibri" w:hAnsi="Calibri" w:cs="Calibri"/>
        </w:rPr>
        <w:t>gap</w:t>
      </w:r>
      <w:r w:rsidR="002D02E1">
        <w:rPr>
          <w:rFonts w:ascii="Calibri" w:hAnsi="Calibri" w:cs="Calibri"/>
        </w:rPr>
        <w:t xml:space="preserve"> </w:t>
      </w:r>
      <w:r w:rsidR="002D02E1" w:rsidRPr="002D02E1">
        <w:rPr>
          <w:rFonts w:ascii="Calibri" w:hAnsi="Calibri" w:cs="Calibri"/>
        </w:rPr>
        <w:t>between males and females</w:t>
      </w:r>
      <w:r w:rsidR="00DB2FD9">
        <w:rPr>
          <w:rFonts w:ascii="Calibri" w:hAnsi="Calibri" w:cs="Calibri"/>
        </w:rPr>
        <w:t>.</w:t>
      </w:r>
    </w:p>
    <w:p w14:paraId="6C8E7C31" w14:textId="77777777" w:rsidR="00D74C53" w:rsidRDefault="00D74C53" w:rsidP="002D02E1">
      <w:pPr>
        <w:pStyle w:val="NormalWeb"/>
        <w:spacing w:before="0" w:beforeAutospacing="0" w:after="0" w:afterAutospacing="0"/>
        <w:rPr>
          <w:rFonts w:ascii="Calibri" w:hAnsi="Calibri" w:cs="Calibri"/>
        </w:rPr>
      </w:pPr>
    </w:p>
    <w:p w14:paraId="305FA8D0" w14:textId="77777777" w:rsidR="00D74C53" w:rsidRDefault="00D74C53" w:rsidP="002D02E1">
      <w:pPr>
        <w:pStyle w:val="NormalWeb"/>
        <w:spacing w:before="0" w:beforeAutospacing="0" w:after="0" w:afterAutospacing="0"/>
        <w:rPr>
          <w:rFonts w:ascii="Calibri" w:hAnsi="Calibri" w:cs="Calibri"/>
        </w:rPr>
      </w:pPr>
    </w:p>
    <w:tbl>
      <w:tblPr>
        <w:tblW w:w="6388" w:type="dxa"/>
        <w:tblInd w:w="709" w:type="dxa"/>
        <w:tblLook w:val="04A0" w:firstRow="1" w:lastRow="0" w:firstColumn="1" w:lastColumn="0" w:noHBand="0" w:noVBand="1"/>
      </w:tblPr>
      <w:tblGrid>
        <w:gridCol w:w="2151"/>
        <w:gridCol w:w="960"/>
        <w:gridCol w:w="960"/>
        <w:gridCol w:w="1177"/>
        <w:gridCol w:w="1140"/>
      </w:tblGrid>
      <w:tr w:rsidR="00C355E8" w:rsidRPr="00C355E8" w14:paraId="7D78F29B" w14:textId="77777777" w:rsidTr="00891D98">
        <w:trPr>
          <w:trHeight w:val="290"/>
        </w:trPr>
        <w:tc>
          <w:tcPr>
            <w:tcW w:w="2151" w:type="dxa"/>
            <w:tcBorders>
              <w:top w:val="nil"/>
              <w:left w:val="nil"/>
              <w:bottom w:val="nil"/>
              <w:right w:val="nil"/>
            </w:tcBorders>
            <w:noWrap/>
            <w:vAlign w:val="bottom"/>
            <w:hideMark/>
          </w:tcPr>
          <w:p w14:paraId="20CE4C5D" w14:textId="70F63B77" w:rsidR="00C355E8" w:rsidRPr="00C355E8" w:rsidRDefault="00C355E8" w:rsidP="00C355E8">
            <w:pPr>
              <w:spacing w:after="0"/>
              <w:ind w:left="0"/>
              <w:rPr>
                <w:rFonts w:ascii="Aptos Narrow" w:eastAsia="Times New Roman" w:hAnsi="Aptos Narrow" w:cs="Times New Roman"/>
                <w:i/>
                <w:iCs/>
                <w:color w:val="000000"/>
                <w:kern w:val="0"/>
                <w:sz w:val="22"/>
                <w:szCs w:val="22"/>
                <w:lang w:eastAsia="en-GB"/>
                <w14:ligatures w14:val="none"/>
              </w:rPr>
            </w:pPr>
            <w:r w:rsidRPr="00C355E8">
              <w:rPr>
                <w:rFonts w:ascii="Aptos Narrow" w:eastAsia="Times New Roman" w:hAnsi="Aptos Narrow" w:cs="Times New Roman"/>
                <w:i/>
                <w:iCs/>
                <w:color w:val="000000"/>
                <w:kern w:val="0"/>
                <w:sz w:val="22"/>
                <w:szCs w:val="22"/>
                <w:lang w:eastAsia="en-GB"/>
                <w14:ligatures w14:val="none"/>
              </w:rPr>
              <w:t>Mean</w:t>
            </w:r>
            <w:r>
              <w:rPr>
                <w:rFonts w:ascii="Aptos Narrow" w:eastAsia="Times New Roman" w:hAnsi="Aptos Narrow" w:cs="Times New Roman"/>
                <w:i/>
                <w:iCs/>
                <w:color w:val="000000"/>
                <w:kern w:val="0"/>
                <w:sz w:val="22"/>
                <w:szCs w:val="22"/>
                <w:lang w:eastAsia="en-GB"/>
                <w14:ligatures w14:val="none"/>
              </w:rPr>
              <w:t xml:space="preserve"> 4.3.1</w:t>
            </w:r>
          </w:p>
        </w:tc>
        <w:tc>
          <w:tcPr>
            <w:tcW w:w="960" w:type="dxa"/>
            <w:tcBorders>
              <w:top w:val="nil"/>
              <w:left w:val="nil"/>
              <w:bottom w:val="nil"/>
              <w:right w:val="nil"/>
            </w:tcBorders>
            <w:noWrap/>
            <w:vAlign w:val="bottom"/>
            <w:hideMark/>
          </w:tcPr>
          <w:p w14:paraId="25545405" w14:textId="77777777" w:rsidR="00C355E8" w:rsidRPr="00C355E8" w:rsidRDefault="00C355E8" w:rsidP="00C355E8">
            <w:pPr>
              <w:spacing w:after="0"/>
              <w:ind w:left="0"/>
              <w:rPr>
                <w:rFonts w:ascii="Aptos Narrow" w:eastAsia="Times New Roman" w:hAnsi="Aptos Narrow" w:cs="Times New Roman"/>
                <w:i/>
                <w:iCs/>
                <w:color w:val="000000"/>
                <w:kern w:val="0"/>
                <w:sz w:val="22"/>
                <w:szCs w:val="22"/>
                <w:lang w:eastAsia="en-GB"/>
                <w14:ligatures w14:val="none"/>
              </w:rPr>
            </w:pPr>
          </w:p>
        </w:tc>
        <w:tc>
          <w:tcPr>
            <w:tcW w:w="960" w:type="dxa"/>
            <w:tcBorders>
              <w:top w:val="nil"/>
              <w:left w:val="nil"/>
              <w:bottom w:val="nil"/>
              <w:right w:val="nil"/>
            </w:tcBorders>
            <w:noWrap/>
            <w:vAlign w:val="bottom"/>
            <w:hideMark/>
          </w:tcPr>
          <w:p w14:paraId="2F27FB31" w14:textId="77777777" w:rsidR="00C355E8" w:rsidRPr="00C355E8" w:rsidRDefault="00C355E8" w:rsidP="00C355E8">
            <w:pPr>
              <w:spacing w:after="0"/>
              <w:ind w:left="0"/>
              <w:rPr>
                <w:rFonts w:ascii="Times New Roman" w:eastAsia="Times New Roman" w:hAnsi="Times New Roman" w:cs="Times New Roman"/>
                <w:kern w:val="0"/>
                <w:sz w:val="20"/>
                <w:szCs w:val="20"/>
                <w:lang w:eastAsia="en-GB"/>
                <w14:ligatures w14:val="none"/>
              </w:rPr>
            </w:pPr>
          </w:p>
        </w:tc>
        <w:tc>
          <w:tcPr>
            <w:tcW w:w="1177" w:type="dxa"/>
            <w:tcBorders>
              <w:top w:val="nil"/>
              <w:left w:val="nil"/>
              <w:bottom w:val="nil"/>
              <w:right w:val="nil"/>
            </w:tcBorders>
            <w:noWrap/>
            <w:vAlign w:val="bottom"/>
            <w:hideMark/>
          </w:tcPr>
          <w:p w14:paraId="2BDC4332" w14:textId="77777777" w:rsidR="00C355E8" w:rsidRPr="00C355E8" w:rsidRDefault="00C355E8" w:rsidP="00C355E8">
            <w:pPr>
              <w:spacing w:after="0"/>
              <w:ind w:left="0"/>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noWrap/>
            <w:vAlign w:val="bottom"/>
            <w:hideMark/>
          </w:tcPr>
          <w:p w14:paraId="3C0A9813" w14:textId="77777777" w:rsidR="00C355E8" w:rsidRPr="00C355E8" w:rsidRDefault="00C355E8" w:rsidP="00C355E8">
            <w:pPr>
              <w:spacing w:after="0"/>
              <w:ind w:left="0"/>
              <w:rPr>
                <w:rFonts w:ascii="Times New Roman" w:eastAsia="Times New Roman" w:hAnsi="Times New Roman" w:cs="Times New Roman"/>
                <w:kern w:val="0"/>
                <w:sz w:val="20"/>
                <w:szCs w:val="20"/>
                <w:lang w:eastAsia="en-GB"/>
                <w14:ligatures w14:val="none"/>
              </w:rPr>
            </w:pPr>
          </w:p>
        </w:tc>
      </w:tr>
      <w:tr w:rsidR="00C355E8" w:rsidRPr="00C355E8" w14:paraId="0A38DC43" w14:textId="77777777" w:rsidTr="00891D98">
        <w:trPr>
          <w:trHeight w:val="290"/>
        </w:trPr>
        <w:tc>
          <w:tcPr>
            <w:tcW w:w="2151"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24001F1E" w14:textId="77777777" w:rsidR="00C355E8" w:rsidRPr="00C355E8" w:rsidRDefault="00C355E8" w:rsidP="00C355E8">
            <w:pPr>
              <w:spacing w:after="0"/>
              <w:ind w:left="0"/>
              <w:rPr>
                <w:rFonts w:ascii="Aptos Narrow" w:eastAsia="Times New Roman" w:hAnsi="Aptos Narrow" w:cs="Times New Roman"/>
                <w:b/>
                <w:bCs/>
                <w:color w:val="FFFFFF"/>
                <w:kern w:val="0"/>
                <w:sz w:val="22"/>
                <w:szCs w:val="22"/>
                <w:lang w:eastAsia="en-GB"/>
                <w14:ligatures w14:val="none"/>
              </w:rPr>
            </w:pPr>
            <w:r w:rsidRPr="00C355E8">
              <w:rPr>
                <w:rFonts w:ascii="Aptos Narrow" w:eastAsia="Times New Roman" w:hAnsi="Aptos Narrow" w:cs="Times New Roman"/>
                <w:b/>
                <w:bCs/>
                <w:color w:val="FFFFFF"/>
                <w:kern w:val="0"/>
                <w:sz w:val="22"/>
                <w:szCs w:val="22"/>
                <w:lang w:eastAsia="en-GB"/>
                <w14:ligatures w14:val="none"/>
              </w:rPr>
              <w:t>Criteria</w:t>
            </w:r>
          </w:p>
        </w:tc>
        <w:tc>
          <w:tcPr>
            <w:tcW w:w="960" w:type="dxa"/>
            <w:tcBorders>
              <w:top w:val="single" w:sz="4" w:space="0" w:color="auto"/>
              <w:left w:val="nil"/>
              <w:bottom w:val="single" w:sz="4" w:space="0" w:color="auto"/>
              <w:right w:val="single" w:sz="4" w:space="0" w:color="auto"/>
            </w:tcBorders>
            <w:shd w:val="clear" w:color="000000" w:fill="156082"/>
            <w:noWrap/>
            <w:vAlign w:val="bottom"/>
            <w:hideMark/>
          </w:tcPr>
          <w:p w14:paraId="33B690A6" w14:textId="77777777" w:rsidR="00C355E8" w:rsidRPr="00C355E8" w:rsidRDefault="00C355E8" w:rsidP="00C355E8">
            <w:pPr>
              <w:spacing w:after="0"/>
              <w:ind w:left="0"/>
              <w:rPr>
                <w:rFonts w:ascii="Aptos Narrow" w:eastAsia="Times New Roman" w:hAnsi="Aptos Narrow" w:cs="Times New Roman"/>
                <w:b/>
                <w:bCs/>
                <w:color w:val="FFFFFF"/>
                <w:kern w:val="0"/>
                <w:sz w:val="22"/>
                <w:szCs w:val="22"/>
                <w:lang w:eastAsia="en-GB"/>
                <w14:ligatures w14:val="none"/>
              </w:rPr>
            </w:pPr>
            <w:r w:rsidRPr="00C355E8">
              <w:rPr>
                <w:rFonts w:ascii="Aptos Narrow" w:eastAsia="Times New Roman" w:hAnsi="Aptos Narrow" w:cs="Times New Roman"/>
                <w:b/>
                <w:bCs/>
                <w:color w:val="FFFFFF"/>
                <w:kern w:val="0"/>
                <w:sz w:val="22"/>
                <w:szCs w:val="22"/>
                <w:lang w:eastAsia="en-GB"/>
                <w14:ligatures w14:val="none"/>
              </w:rPr>
              <w:t>Male</w:t>
            </w:r>
          </w:p>
        </w:tc>
        <w:tc>
          <w:tcPr>
            <w:tcW w:w="960" w:type="dxa"/>
            <w:tcBorders>
              <w:top w:val="single" w:sz="4" w:space="0" w:color="auto"/>
              <w:left w:val="nil"/>
              <w:bottom w:val="single" w:sz="4" w:space="0" w:color="auto"/>
              <w:right w:val="single" w:sz="4" w:space="0" w:color="auto"/>
            </w:tcBorders>
            <w:shd w:val="clear" w:color="000000" w:fill="156082"/>
            <w:noWrap/>
            <w:vAlign w:val="bottom"/>
            <w:hideMark/>
          </w:tcPr>
          <w:p w14:paraId="7DD80678" w14:textId="77777777" w:rsidR="00C355E8" w:rsidRPr="00C355E8" w:rsidRDefault="00C355E8" w:rsidP="00C355E8">
            <w:pPr>
              <w:spacing w:after="0"/>
              <w:ind w:left="0"/>
              <w:rPr>
                <w:rFonts w:ascii="Aptos Narrow" w:eastAsia="Times New Roman" w:hAnsi="Aptos Narrow" w:cs="Times New Roman"/>
                <w:b/>
                <w:bCs/>
                <w:color w:val="FFFFFF"/>
                <w:kern w:val="0"/>
                <w:sz w:val="22"/>
                <w:szCs w:val="22"/>
                <w:lang w:eastAsia="en-GB"/>
                <w14:ligatures w14:val="none"/>
              </w:rPr>
            </w:pPr>
            <w:r w:rsidRPr="00C355E8">
              <w:rPr>
                <w:rFonts w:ascii="Aptos Narrow" w:eastAsia="Times New Roman" w:hAnsi="Aptos Narrow" w:cs="Times New Roman"/>
                <w:b/>
                <w:bCs/>
                <w:color w:val="FFFFFF"/>
                <w:kern w:val="0"/>
                <w:sz w:val="22"/>
                <w:szCs w:val="22"/>
                <w:lang w:eastAsia="en-GB"/>
                <w14:ligatures w14:val="none"/>
              </w:rPr>
              <w:t>Female</w:t>
            </w:r>
          </w:p>
        </w:tc>
        <w:tc>
          <w:tcPr>
            <w:tcW w:w="1177" w:type="dxa"/>
            <w:tcBorders>
              <w:top w:val="single" w:sz="4" w:space="0" w:color="auto"/>
              <w:left w:val="nil"/>
              <w:bottom w:val="single" w:sz="4" w:space="0" w:color="auto"/>
              <w:right w:val="single" w:sz="4" w:space="0" w:color="auto"/>
            </w:tcBorders>
            <w:shd w:val="clear" w:color="000000" w:fill="156082"/>
            <w:noWrap/>
            <w:vAlign w:val="bottom"/>
            <w:hideMark/>
          </w:tcPr>
          <w:p w14:paraId="637D2573" w14:textId="77777777" w:rsidR="00C355E8" w:rsidRPr="00C355E8" w:rsidRDefault="00C355E8" w:rsidP="00C355E8">
            <w:pPr>
              <w:spacing w:after="0"/>
              <w:ind w:left="0"/>
              <w:rPr>
                <w:rFonts w:ascii="Aptos Narrow" w:eastAsia="Times New Roman" w:hAnsi="Aptos Narrow" w:cs="Times New Roman"/>
                <w:b/>
                <w:bCs/>
                <w:color w:val="FFFFFF"/>
                <w:kern w:val="0"/>
                <w:sz w:val="22"/>
                <w:szCs w:val="22"/>
                <w:lang w:eastAsia="en-GB"/>
                <w14:ligatures w14:val="none"/>
              </w:rPr>
            </w:pPr>
            <w:r w:rsidRPr="00C355E8">
              <w:rPr>
                <w:rFonts w:ascii="Aptos Narrow" w:eastAsia="Times New Roman" w:hAnsi="Aptos Narrow" w:cs="Times New Roman"/>
                <w:b/>
                <w:bCs/>
                <w:color w:val="FFFFFF"/>
                <w:kern w:val="0"/>
                <w:sz w:val="22"/>
                <w:szCs w:val="22"/>
                <w:lang w:eastAsia="en-GB"/>
                <w14:ligatures w14:val="none"/>
              </w:rPr>
              <w:t>Difference</w:t>
            </w:r>
          </w:p>
        </w:tc>
        <w:tc>
          <w:tcPr>
            <w:tcW w:w="1140" w:type="dxa"/>
            <w:tcBorders>
              <w:top w:val="single" w:sz="4" w:space="0" w:color="auto"/>
              <w:left w:val="nil"/>
              <w:bottom w:val="single" w:sz="4" w:space="0" w:color="auto"/>
              <w:right w:val="single" w:sz="4" w:space="0" w:color="auto"/>
            </w:tcBorders>
            <w:shd w:val="clear" w:color="000000" w:fill="156082"/>
            <w:noWrap/>
            <w:vAlign w:val="bottom"/>
            <w:hideMark/>
          </w:tcPr>
          <w:p w14:paraId="5312905B" w14:textId="77777777" w:rsidR="00C355E8" w:rsidRPr="00C355E8" w:rsidRDefault="00C355E8" w:rsidP="00C355E8">
            <w:pPr>
              <w:spacing w:after="0"/>
              <w:ind w:left="0"/>
              <w:rPr>
                <w:rFonts w:ascii="Aptos Narrow" w:eastAsia="Times New Roman" w:hAnsi="Aptos Narrow" w:cs="Times New Roman"/>
                <w:b/>
                <w:bCs/>
                <w:color w:val="FFFFFF"/>
                <w:kern w:val="0"/>
                <w:sz w:val="22"/>
                <w:szCs w:val="22"/>
                <w:lang w:eastAsia="en-GB"/>
                <w14:ligatures w14:val="none"/>
              </w:rPr>
            </w:pPr>
            <w:r w:rsidRPr="00C355E8">
              <w:rPr>
                <w:rFonts w:ascii="Aptos Narrow" w:eastAsia="Times New Roman" w:hAnsi="Aptos Narrow" w:cs="Times New Roman"/>
                <w:b/>
                <w:bCs/>
                <w:color w:val="FFFFFF"/>
                <w:kern w:val="0"/>
                <w:sz w:val="22"/>
                <w:szCs w:val="22"/>
                <w:lang w:eastAsia="en-GB"/>
                <w14:ligatures w14:val="none"/>
              </w:rPr>
              <w:t>Pay Gap %</w:t>
            </w:r>
          </w:p>
        </w:tc>
      </w:tr>
      <w:tr w:rsidR="00C355E8" w:rsidRPr="00C355E8" w14:paraId="0B3C3444" w14:textId="77777777" w:rsidTr="00891D98">
        <w:trPr>
          <w:trHeight w:val="290"/>
        </w:trPr>
        <w:tc>
          <w:tcPr>
            <w:tcW w:w="2151" w:type="dxa"/>
            <w:tcBorders>
              <w:top w:val="nil"/>
              <w:left w:val="single" w:sz="4" w:space="0" w:color="auto"/>
              <w:bottom w:val="single" w:sz="4" w:space="0" w:color="auto"/>
              <w:right w:val="single" w:sz="4" w:space="0" w:color="auto"/>
            </w:tcBorders>
            <w:noWrap/>
            <w:vAlign w:val="bottom"/>
            <w:hideMark/>
          </w:tcPr>
          <w:p w14:paraId="4266AAB7" w14:textId="77777777" w:rsidR="00C355E8" w:rsidRPr="00C355E8" w:rsidRDefault="00C355E8" w:rsidP="00C355E8">
            <w:pPr>
              <w:spacing w:after="0"/>
              <w:ind w:left="0"/>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2022/2023</w:t>
            </w:r>
          </w:p>
        </w:tc>
        <w:tc>
          <w:tcPr>
            <w:tcW w:w="960" w:type="dxa"/>
            <w:tcBorders>
              <w:top w:val="nil"/>
              <w:left w:val="nil"/>
              <w:bottom w:val="single" w:sz="4" w:space="0" w:color="auto"/>
              <w:right w:val="single" w:sz="4" w:space="0" w:color="auto"/>
            </w:tcBorders>
            <w:noWrap/>
            <w:vAlign w:val="bottom"/>
            <w:hideMark/>
          </w:tcPr>
          <w:p w14:paraId="77B0070B"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8481</w:t>
            </w:r>
          </w:p>
        </w:tc>
        <w:tc>
          <w:tcPr>
            <w:tcW w:w="960" w:type="dxa"/>
            <w:tcBorders>
              <w:top w:val="nil"/>
              <w:left w:val="nil"/>
              <w:bottom w:val="single" w:sz="4" w:space="0" w:color="auto"/>
              <w:right w:val="single" w:sz="4" w:space="0" w:color="auto"/>
            </w:tcBorders>
            <w:noWrap/>
            <w:vAlign w:val="bottom"/>
            <w:hideMark/>
          </w:tcPr>
          <w:p w14:paraId="370B25A9"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6520</w:t>
            </w:r>
          </w:p>
        </w:tc>
        <w:tc>
          <w:tcPr>
            <w:tcW w:w="1177" w:type="dxa"/>
            <w:tcBorders>
              <w:top w:val="nil"/>
              <w:left w:val="nil"/>
              <w:bottom w:val="single" w:sz="4" w:space="0" w:color="auto"/>
              <w:right w:val="single" w:sz="4" w:space="0" w:color="auto"/>
            </w:tcBorders>
            <w:noWrap/>
            <w:vAlign w:val="bottom"/>
            <w:hideMark/>
          </w:tcPr>
          <w:p w14:paraId="41B09731"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1961</w:t>
            </w:r>
          </w:p>
        </w:tc>
        <w:tc>
          <w:tcPr>
            <w:tcW w:w="1140" w:type="dxa"/>
            <w:tcBorders>
              <w:top w:val="nil"/>
              <w:left w:val="nil"/>
              <w:bottom w:val="single" w:sz="4" w:space="0" w:color="auto"/>
              <w:right w:val="single" w:sz="4" w:space="0" w:color="auto"/>
            </w:tcBorders>
            <w:noWrap/>
            <w:vAlign w:val="bottom"/>
            <w:hideMark/>
          </w:tcPr>
          <w:p w14:paraId="2EA501A0"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29.08</w:t>
            </w:r>
          </w:p>
        </w:tc>
      </w:tr>
      <w:tr w:rsidR="00C355E8" w:rsidRPr="00C355E8" w14:paraId="1860872A" w14:textId="77777777" w:rsidTr="00891D98">
        <w:trPr>
          <w:trHeight w:val="290"/>
        </w:trPr>
        <w:tc>
          <w:tcPr>
            <w:tcW w:w="2151" w:type="dxa"/>
            <w:tcBorders>
              <w:top w:val="nil"/>
              <w:left w:val="single" w:sz="4" w:space="0" w:color="auto"/>
              <w:bottom w:val="single" w:sz="4" w:space="0" w:color="auto"/>
              <w:right w:val="single" w:sz="4" w:space="0" w:color="auto"/>
            </w:tcBorders>
            <w:noWrap/>
            <w:vAlign w:val="bottom"/>
            <w:hideMark/>
          </w:tcPr>
          <w:p w14:paraId="1FADBFB7" w14:textId="77777777" w:rsidR="00C355E8" w:rsidRPr="00C355E8" w:rsidRDefault="00C355E8" w:rsidP="00C355E8">
            <w:pPr>
              <w:spacing w:after="0"/>
              <w:ind w:left="0"/>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2023/2024</w:t>
            </w:r>
          </w:p>
        </w:tc>
        <w:tc>
          <w:tcPr>
            <w:tcW w:w="960" w:type="dxa"/>
            <w:tcBorders>
              <w:top w:val="nil"/>
              <w:left w:val="nil"/>
              <w:bottom w:val="single" w:sz="4" w:space="0" w:color="auto"/>
              <w:right w:val="single" w:sz="4" w:space="0" w:color="auto"/>
            </w:tcBorders>
            <w:noWrap/>
            <w:vAlign w:val="bottom"/>
            <w:hideMark/>
          </w:tcPr>
          <w:p w14:paraId="67A08CFF"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8074</w:t>
            </w:r>
          </w:p>
        </w:tc>
        <w:tc>
          <w:tcPr>
            <w:tcW w:w="960" w:type="dxa"/>
            <w:tcBorders>
              <w:top w:val="nil"/>
              <w:left w:val="nil"/>
              <w:bottom w:val="single" w:sz="4" w:space="0" w:color="auto"/>
              <w:right w:val="single" w:sz="4" w:space="0" w:color="auto"/>
            </w:tcBorders>
            <w:noWrap/>
            <w:vAlign w:val="bottom"/>
            <w:hideMark/>
          </w:tcPr>
          <w:p w14:paraId="154DF159"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5726</w:t>
            </w:r>
          </w:p>
        </w:tc>
        <w:tc>
          <w:tcPr>
            <w:tcW w:w="1177" w:type="dxa"/>
            <w:tcBorders>
              <w:top w:val="nil"/>
              <w:left w:val="nil"/>
              <w:bottom w:val="single" w:sz="4" w:space="0" w:color="auto"/>
              <w:right w:val="single" w:sz="4" w:space="0" w:color="auto"/>
            </w:tcBorders>
            <w:noWrap/>
            <w:vAlign w:val="bottom"/>
            <w:hideMark/>
          </w:tcPr>
          <w:p w14:paraId="6A30AD95"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2348</w:t>
            </w:r>
          </w:p>
        </w:tc>
        <w:tc>
          <w:tcPr>
            <w:tcW w:w="1140" w:type="dxa"/>
            <w:tcBorders>
              <w:top w:val="nil"/>
              <w:left w:val="nil"/>
              <w:bottom w:val="single" w:sz="4" w:space="0" w:color="auto"/>
              <w:right w:val="single" w:sz="4" w:space="0" w:color="auto"/>
            </w:tcBorders>
            <w:noWrap/>
            <w:vAlign w:val="bottom"/>
            <w:hideMark/>
          </w:tcPr>
          <w:p w14:paraId="68802D8E"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23.13</w:t>
            </w:r>
          </w:p>
        </w:tc>
      </w:tr>
      <w:tr w:rsidR="00C355E8" w:rsidRPr="00C355E8" w14:paraId="23202726" w14:textId="77777777" w:rsidTr="00891D98">
        <w:trPr>
          <w:trHeight w:val="290"/>
        </w:trPr>
        <w:tc>
          <w:tcPr>
            <w:tcW w:w="2151" w:type="dxa"/>
            <w:tcBorders>
              <w:top w:val="nil"/>
              <w:left w:val="single" w:sz="4" w:space="0" w:color="auto"/>
              <w:bottom w:val="single" w:sz="4" w:space="0" w:color="auto"/>
              <w:right w:val="single" w:sz="4" w:space="0" w:color="auto"/>
            </w:tcBorders>
            <w:noWrap/>
            <w:vAlign w:val="bottom"/>
            <w:hideMark/>
          </w:tcPr>
          <w:p w14:paraId="4A2E2349" w14:textId="77777777" w:rsidR="00C355E8" w:rsidRPr="00C355E8" w:rsidRDefault="00C355E8" w:rsidP="00C355E8">
            <w:pPr>
              <w:spacing w:after="0"/>
              <w:ind w:left="0"/>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2024/2025</w:t>
            </w:r>
          </w:p>
        </w:tc>
        <w:tc>
          <w:tcPr>
            <w:tcW w:w="960" w:type="dxa"/>
            <w:tcBorders>
              <w:top w:val="nil"/>
              <w:left w:val="nil"/>
              <w:bottom w:val="single" w:sz="4" w:space="0" w:color="auto"/>
              <w:right w:val="single" w:sz="4" w:space="0" w:color="auto"/>
            </w:tcBorders>
            <w:noWrap/>
            <w:vAlign w:val="bottom"/>
            <w:hideMark/>
          </w:tcPr>
          <w:p w14:paraId="670C76DE"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13888</w:t>
            </w:r>
          </w:p>
        </w:tc>
        <w:tc>
          <w:tcPr>
            <w:tcW w:w="960" w:type="dxa"/>
            <w:tcBorders>
              <w:top w:val="nil"/>
              <w:left w:val="nil"/>
              <w:bottom w:val="single" w:sz="4" w:space="0" w:color="auto"/>
              <w:right w:val="single" w:sz="4" w:space="0" w:color="auto"/>
            </w:tcBorders>
            <w:noWrap/>
            <w:vAlign w:val="bottom"/>
            <w:hideMark/>
          </w:tcPr>
          <w:p w14:paraId="64390A33"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6249</w:t>
            </w:r>
          </w:p>
        </w:tc>
        <w:tc>
          <w:tcPr>
            <w:tcW w:w="1177" w:type="dxa"/>
            <w:tcBorders>
              <w:top w:val="nil"/>
              <w:left w:val="nil"/>
              <w:bottom w:val="single" w:sz="4" w:space="0" w:color="auto"/>
              <w:right w:val="single" w:sz="4" w:space="0" w:color="auto"/>
            </w:tcBorders>
            <w:noWrap/>
            <w:vAlign w:val="bottom"/>
            <w:hideMark/>
          </w:tcPr>
          <w:p w14:paraId="7B492169"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7639</w:t>
            </w:r>
          </w:p>
        </w:tc>
        <w:tc>
          <w:tcPr>
            <w:tcW w:w="1140" w:type="dxa"/>
            <w:tcBorders>
              <w:top w:val="nil"/>
              <w:left w:val="nil"/>
              <w:bottom w:val="single" w:sz="4" w:space="0" w:color="auto"/>
              <w:right w:val="single" w:sz="4" w:space="0" w:color="auto"/>
            </w:tcBorders>
            <w:noWrap/>
            <w:vAlign w:val="bottom"/>
            <w:hideMark/>
          </w:tcPr>
          <w:p w14:paraId="3F93C603"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55.00</w:t>
            </w:r>
          </w:p>
        </w:tc>
      </w:tr>
    </w:tbl>
    <w:p w14:paraId="653FA8B5" w14:textId="10EA62A0" w:rsidR="00C355E8" w:rsidRDefault="00C355E8" w:rsidP="00C355E8">
      <w:pPr>
        <w:pStyle w:val="NormalWeb"/>
        <w:spacing w:before="0" w:beforeAutospacing="0" w:after="0" w:afterAutospacing="0"/>
        <w:rPr>
          <w:rFonts w:ascii="Calibri" w:hAnsi="Calibri" w:cs="Calibri"/>
        </w:rPr>
      </w:pPr>
    </w:p>
    <w:tbl>
      <w:tblPr>
        <w:tblW w:w="6388" w:type="dxa"/>
        <w:tblInd w:w="709" w:type="dxa"/>
        <w:tblLook w:val="04A0" w:firstRow="1" w:lastRow="0" w:firstColumn="1" w:lastColumn="0" w:noHBand="0" w:noVBand="1"/>
      </w:tblPr>
      <w:tblGrid>
        <w:gridCol w:w="2151"/>
        <w:gridCol w:w="960"/>
        <w:gridCol w:w="960"/>
        <w:gridCol w:w="1177"/>
        <w:gridCol w:w="1140"/>
      </w:tblGrid>
      <w:tr w:rsidR="00C355E8" w:rsidRPr="00C355E8" w14:paraId="56E3D771" w14:textId="77777777" w:rsidTr="00891D98">
        <w:trPr>
          <w:trHeight w:val="290"/>
        </w:trPr>
        <w:tc>
          <w:tcPr>
            <w:tcW w:w="2151" w:type="dxa"/>
            <w:tcBorders>
              <w:top w:val="nil"/>
              <w:left w:val="nil"/>
              <w:bottom w:val="nil"/>
              <w:right w:val="nil"/>
            </w:tcBorders>
            <w:noWrap/>
            <w:vAlign w:val="bottom"/>
            <w:hideMark/>
          </w:tcPr>
          <w:p w14:paraId="563801D1" w14:textId="6339DA1D" w:rsidR="00C355E8" w:rsidRPr="00C355E8" w:rsidRDefault="00C355E8" w:rsidP="00C355E8">
            <w:pPr>
              <w:spacing w:after="0"/>
              <w:ind w:left="0"/>
              <w:rPr>
                <w:rFonts w:ascii="Aptos Narrow" w:eastAsia="Times New Roman" w:hAnsi="Aptos Narrow" w:cs="Times New Roman"/>
                <w:i/>
                <w:iCs/>
                <w:color w:val="000000"/>
                <w:kern w:val="0"/>
                <w:sz w:val="22"/>
                <w:szCs w:val="22"/>
                <w:lang w:eastAsia="en-GB"/>
                <w14:ligatures w14:val="none"/>
              </w:rPr>
            </w:pPr>
            <w:r w:rsidRPr="00C355E8">
              <w:rPr>
                <w:rFonts w:ascii="Aptos Narrow" w:eastAsia="Times New Roman" w:hAnsi="Aptos Narrow" w:cs="Times New Roman"/>
                <w:i/>
                <w:iCs/>
                <w:color w:val="000000"/>
                <w:kern w:val="0"/>
                <w:sz w:val="22"/>
                <w:szCs w:val="22"/>
                <w:lang w:eastAsia="en-GB"/>
                <w14:ligatures w14:val="none"/>
              </w:rPr>
              <w:t>Median</w:t>
            </w:r>
            <w:r>
              <w:rPr>
                <w:rFonts w:ascii="Aptos Narrow" w:eastAsia="Times New Roman" w:hAnsi="Aptos Narrow" w:cs="Times New Roman"/>
                <w:i/>
                <w:iCs/>
                <w:color w:val="000000"/>
                <w:kern w:val="0"/>
                <w:sz w:val="22"/>
                <w:szCs w:val="22"/>
                <w:lang w:eastAsia="en-GB"/>
                <w14:ligatures w14:val="none"/>
              </w:rPr>
              <w:t xml:space="preserve"> 4.3.2</w:t>
            </w:r>
          </w:p>
        </w:tc>
        <w:tc>
          <w:tcPr>
            <w:tcW w:w="960" w:type="dxa"/>
            <w:tcBorders>
              <w:top w:val="nil"/>
              <w:left w:val="nil"/>
              <w:bottom w:val="nil"/>
              <w:right w:val="nil"/>
            </w:tcBorders>
            <w:noWrap/>
            <w:vAlign w:val="bottom"/>
            <w:hideMark/>
          </w:tcPr>
          <w:p w14:paraId="3DAA9581" w14:textId="77777777" w:rsidR="00C355E8" w:rsidRPr="00C355E8" w:rsidRDefault="00C355E8" w:rsidP="00C355E8">
            <w:pPr>
              <w:spacing w:after="0"/>
              <w:ind w:left="0"/>
              <w:rPr>
                <w:rFonts w:ascii="Aptos Narrow" w:eastAsia="Times New Roman" w:hAnsi="Aptos Narrow" w:cs="Times New Roman"/>
                <w:i/>
                <w:iCs/>
                <w:color w:val="000000"/>
                <w:kern w:val="0"/>
                <w:sz w:val="22"/>
                <w:szCs w:val="22"/>
                <w:lang w:eastAsia="en-GB"/>
                <w14:ligatures w14:val="none"/>
              </w:rPr>
            </w:pPr>
          </w:p>
        </w:tc>
        <w:tc>
          <w:tcPr>
            <w:tcW w:w="960" w:type="dxa"/>
            <w:tcBorders>
              <w:top w:val="nil"/>
              <w:left w:val="nil"/>
              <w:bottom w:val="nil"/>
              <w:right w:val="nil"/>
            </w:tcBorders>
            <w:noWrap/>
            <w:vAlign w:val="bottom"/>
            <w:hideMark/>
          </w:tcPr>
          <w:p w14:paraId="543642E3" w14:textId="77777777" w:rsidR="00C355E8" w:rsidRPr="00C355E8" w:rsidRDefault="00C355E8" w:rsidP="00C355E8">
            <w:pPr>
              <w:spacing w:after="0"/>
              <w:ind w:left="0"/>
              <w:rPr>
                <w:rFonts w:ascii="Times New Roman" w:eastAsia="Times New Roman" w:hAnsi="Times New Roman" w:cs="Times New Roman"/>
                <w:kern w:val="0"/>
                <w:sz w:val="20"/>
                <w:szCs w:val="20"/>
                <w:lang w:eastAsia="en-GB"/>
                <w14:ligatures w14:val="none"/>
              </w:rPr>
            </w:pPr>
          </w:p>
        </w:tc>
        <w:tc>
          <w:tcPr>
            <w:tcW w:w="1177" w:type="dxa"/>
            <w:tcBorders>
              <w:top w:val="nil"/>
              <w:left w:val="nil"/>
              <w:bottom w:val="nil"/>
              <w:right w:val="nil"/>
            </w:tcBorders>
            <w:noWrap/>
            <w:vAlign w:val="bottom"/>
            <w:hideMark/>
          </w:tcPr>
          <w:p w14:paraId="40B0F42D" w14:textId="77777777" w:rsidR="00C355E8" w:rsidRPr="00C355E8" w:rsidRDefault="00C355E8" w:rsidP="00C355E8">
            <w:pPr>
              <w:spacing w:after="0"/>
              <w:ind w:left="0"/>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noWrap/>
            <w:vAlign w:val="bottom"/>
            <w:hideMark/>
          </w:tcPr>
          <w:p w14:paraId="5F9449E6" w14:textId="77777777" w:rsidR="00C355E8" w:rsidRPr="00C355E8" w:rsidRDefault="00C355E8" w:rsidP="00C355E8">
            <w:pPr>
              <w:spacing w:after="0"/>
              <w:ind w:left="0"/>
              <w:rPr>
                <w:rFonts w:ascii="Times New Roman" w:eastAsia="Times New Roman" w:hAnsi="Times New Roman" w:cs="Times New Roman"/>
                <w:kern w:val="0"/>
                <w:sz w:val="20"/>
                <w:szCs w:val="20"/>
                <w:lang w:eastAsia="en-GB"/>
                <w14:ligatures w14:val="none"/>
              </w:rPr>
            </w:pPr>
          </w:p>
        </w:tc>
      </w:tr>
      <w:tr w:rsidR="00C355E8" w:rsidRPr="00C355E8" w14:paraId="11E10FCE" w14:textId="77777777" w:rsidTr="00891D98">
        <w:trPr>
          <w:trHeight w:val="290"/>
        </w:trPr>
        <w:tc>
          <w:tcPr>
            <w:tcW w:w="2151" w:type="dxa"/>
            <w:tcBorders>
              <w:top w:val="nil"/>
              <w:left w:val="nil"/>
              <w:bottom w:val="nil"/>
              <w:right w:val="nil"/>
            </w:tcBorders>
            <w:noWrap/>
            <w:vAlign w:val="bottom"/>
          </w:tcPr>
          <w:p w14:paraId="7DE91254" w14:textId="77777777" w:rsidR="00C355E8" w:rsidRPr="00C355E8" w:rsidRDefault="00C355E8" w:rsidP="00C355E8">
            <w:pPr>
              <w:spacing w:after="0"/>
              <w:ind w:left="0"/>
              <w:rPr>
                <w:rFonts w:ascii="Aptos Narrow" w:eastAsia="Times New Roman" w:hAnsi="Aptos Narrow" w:cs="Times New Roman"/>
                <w:i/>
                <w:iCs/>
                <w:color w:val="000000"/>
                <w:kern w:val="0"/>
                <w:sz w:val="22"/>
                <w:szCs w:val="22"/>
                <w:lang w:eastAsia="en-GB"/>
                <w14:ligatures w14:val="none"/>
              </w:rPr>
            </w:pPr>
          </w:p>
        </w:tc>
        <w:tc>
          <w:tcPr>
            <w:tcW w:w="960" w:type="dxa"/>
            <w:tcBorders>
              <w:top w:val="nil"/>
              <w:left w:val="nil"/>
              <w:bottom w:val="nil"/>
              <w:right w:val="nil"/>
            </w:tcBorders>
            <w:noWrap/>
            <w:vAlign w:val="bottom"/>
          </w:tcPr>
          <w:p w14:paraId="717119F9" w14:textId="77777777" w:rsidR="00C355E8" w:rsidRPr="00C355E8" w:rsidRDefault="00C355E8" w:rsidP="00C355E8">
            <w:pPr>
              <w:spacing w:after="0"/>
              <w:ind w:left="0"/>
              <w:rPr>
                <w:rFonts w:ascii="Aptos Narrow" w:eastAsia="Times New Roman" w:hAnsi="Aptos Narrow" w:cs="Times New Roman"/>
                <w:i/>
                <w:iCs/>
                <w:color w:val="000000"/>
                <w:kern w:val="0"/>
                <w:sz w:val="22"/>
                <w:szCs w:val="22"/>
                <w:lang w:eastAsia="en-GB"/>
                <w14:ligatures w14:val="none"/>
              </w:rPr>
            </w:pPr>
          </w:p>
        </w:tc>
        <w:tc>
          <w:tcPr>
            <w:tcW w:w="960" w:type="dxa"/>
            <w:tcBorders>
              <w:top w:val="nil"/>
              <w:left w:val="nil"/>
              <w:bottom w:val="nil"/>
              <w:right w:val="nil"/>
            </w:tcBorders>
            <w:noWrap/>
            <w:vAlign w:val="bottom"/>
          </w:tcPr>
          <w:p w14:paraId="1AFE503C" w14:textId="77777777" w:rsidR="00C355E8" w:rsidRPr="00C355E8" w:rsidRDefault="00C355E8" w:rsidP="00C355E8">
            <w:pPr>
              <w:spacing w:after="0"/>
              <w:ind w:left="0"/>
              <w:rPr>
                <w:rFonts w:ascii="Times New Roman" w:eastAsia="Times New Roman" w:hAnsi="Times New Roman" w:cs="Times New Roman"/>
                <w:kern w:val="0"/>
                <w:sz w:val="20"/>
                <w:szCs w:val="20"/>
                <w:lang w:eastAsia="en-GB"/>
                <w14:ligatures w14:val="none"/>
              </w:rPr>
            </w:pPr>
          </w:p>
        </w:tc>
        <w:tc>
          <w:tcPr>
            <w:tcW w:w="1177" w:type="dxa"/>
            <w:tcBorders>
              <w:top w:val="nil"/>
              <w:left w:val="nil"/>
              <w:bottom w:val="nil"/>
              <w:right w:val="nil"/>
            </w:tcBorders>
            <w:noWrap/>
            <w:vAlign w:val="bottom"/>
          </w:tcPr>
          <w:p w14:paraId="2958BB21" w14:textId="77777777" w:rsidR="00C355E8" w:rsidRPr="00C355E8" w:rsidRDefault="00C355E8" w:rsidP="00C355E8">
            <w:pPr>
              <w:spacing w:after="0"/>
              <w:ind w:left="0"/>
              <w:rPr>
                <w:rFonts w:ascii="Times New Roman" w:eastAsia="Times New Roman" w:hAnsi="Times New Roman" w:cs="Times New Roman"/>
                <w:kern w:val="0"/>
                <w:sz w:val="20"/>
                <w:szCs w:val="20"/>
                <w:lang w:eastAsia="en-GB"/>
                <w14:ligatures w14:val="none"/>
              </w:rPr>
            </w:pPr>
          </w:p>
        </w:tc>
        <w:tc>
          <w:tcPr>
            <w:tcW w:w="1140" w:type="dxa"/>
            <w:tcBorders>
              <w:top w:val="nil"/>
              <w:left w:val="nil"/>
              <w:bottom w:val="nil"/>
              <w:right w:val="nil"/>
            </w:tcBorders>
            <w:noWrap/>
            <w:vAlign w:val="bottom"/>
          </w:tcPr>
          <w:p w14:paraId="4C0FB6B5" w14:textId="77777777" w:rsidR="00C355E8" w:rsidRPr="00C355E8" w:rsidRDefault="00C355E8" w:rsidP="00C355E8">
            <w:pPr>
              <w:spacing w:after="0"/>
              <w:ind w:left="0"/>
              <w:rPr>
                <w:rFonts w:ascii="Times New Roman" w:eastAsia="Times New Roman" w:hAnsi="Times New Roman" w:cs="Times New Roman"/>
                <w:kern w:val="0"/>
                <w:sz w:val="20"/>
                <w:szCs w:val="20"/>
                <w:lang w:eastAsia="en-GB"/>
                <w14:ligatures w14:val="none"/>
              </w:rPr>
            </w:pPr>
          </w:p>
        </w:tc>
      </w:tr>
      <w:tr w:rsidR="00C355E8" w:rsidRPr="00C355E8" w14:paraId="632CDA79" w14:textId="77777777" w:rsidTr="00891D98">
        <w:trPr>
          <w:trHeight w:val="290"/>
        </w:trPr>
        <w:tc>
          <w:tcPr>
            <w:tcW w:w="2151"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7DCCF08D" w14:textId="77777777" w:rsidR="00C355E8" w:rsidRPr="00C355E8" w:rsidRDefault="00C355E8" w:rsidP="00C355E8">
            <w:pPr>
              <w:spacing w:after="0"/>
              <w:ind w:left="0"/>
              <w:rPr>
                <w:rFonts w:ascii="Aptos Narrow" w:eastAsia="Times New Roman" w:hAnsi="Aptos Narrow" w:cs="Times New Roman"/>
                <w:b/>
                <w:bCs/>
                <w:color w:val="FFFFFF"/>
                <w:kern w:val="0"/>
                <w:sz w:val="22"/>
                <w:szCs w:val="22"/>
                <w:lang w:eastAsia="en-GB"/>
                <w14:ligatures w14:val="none"/>
              </w:rPr>
            </w:pPr>
            <w:r w:rsidRPr="00C355E8">
              <w:rPr>
                <w:rFonts w:ascii="Aptos Narrow" w:eastAsia="Times New Roman" w:hAnsi="Aptos Narrow" w:cs="Times New Roman"/>
                <w:b/>
                <w:bCs/>
                <w:color w:val="FFFFFF"/>
                <w:kern w:val="0"/>
                <w:sz w:val="22"/>
                <w:szCs w:val="22"/>
                <w:lang w:eastAsia="en-GB"/>
                <w14:ligatures w14:val="none"/>
              </w:rPr>
              <w:t>Criteria</w:t>
            </w:r>
          </w:p>
        </w:tc>
        <w:tc>
          <w:tcPr>
            <w:tcW w:w="960" w:type="dxa"/>
            <w:tcBorders>
              <w:top w:val="single" w:sz="4" w:space="0" w:color="auto"/>
              <w:left w:val="nil"/>
              <w:bottom w:val="single" w:sz="4" w:space="0" w:color="auto"/>
              <w:right w:val="single" w:sz="4" w:space="0" w:color="auto"/>
            </w:tcBorders>
            <w:shd w:val="clear" w:color="000000" w:fill="156082"/>
            <w:noWrap/>
            <w:vAlign w:val="bottom"/>
            <w:hideMark/>
          </w:tcPr>
          <w:p w14:paraId="3A353DA5" w14:textId="77777777" w:rsidR="00C355E8" w:rsidRPr="00C355E8" w:rsidRDefault="00C355E8" w:rsidP="00C355E8">
            <w:pPr>
              <w:spacing w:after="0"/>
              <w:ind w:left="0"/>
              <w:rPr>
                <w:rFonts w:ascii="Aptos Narrow" w:eastAsia="Times New Roman" w:hAnsi="Aptos Narrow" w:cs="Times New Roman"/>
                <w:b/>
                <w:bCs/>
                <w:color w:val="FFFFFF"/>
                <w:kern w:val="0"/>
                <w:sz w:val="22"/>
                <w:szCs w:val="22"/>
                <w:lang w:eastAsia="en-GB"/>
                <w14:ligatures w14:val="none"/>
              </w:rPr>
            </w:pPr>
            <w:r w:rsidRPr="00C355E8">
              <w:rPr>
                <w:rFonts w:ascii="Aptos Narrow" w:eastAsia="Times New Roman" w:hAnsi="Aptos Narrow" w:cs="Times New Roman"/>
                <w:b/>
                <w:bCs/>
                <w:color w:val="FFFFFF"/>
                <w:kern w:val="0"/>
                <w:sz w:val="22"/>
                <w:szCs w:val="22"/>
                <w:lang w:eastAsia="en-GB"/>
                <w14:ligatures w14:val="none"/>
              </w:rPr>
              <w:t>Male</w:t>
            </w:r>
          </w:p>
        </w:tc>
        <w:tc>
          <w:tcPr>
            <w:tcW w:w="960" w:type="dxa"/>
            <w:tcBorders>
              <w:top w:val="single" w:sz="4" w:space="0" w:color="auto"/>
              <w:left w:val="nil"/>
              <w:bottom w:val="single" w:sz="4" w:space="0" w:color="auto"/>
              <w:right w:val="single" w:sz="4" w:space="0" w:color="auto"/>
            </w:tcBorders>
            <w:shd w:val="clear" w:color="000000" w:fill="156082"/>
            <w:noWrap/>
            <w:vAlign w:val="bottom"/>
            <w:hideMark/>
          </w:tcPr>
          <w:p w14:paraId="278AB67D" w14:textId="77777777" w:rsidR="00C355E8" w:rsidRPr="00C355E8" w:rsidRDefault="00C355E8" w:rsidP="00C355E8">
            <w:pPr>
              <w:spacing w:after="0"/>
              <w:ind w:left="0"/>
              <w:rPr>
                <w:rFonts w:ascii="Aptos Narrow" w:eastAsia="Times New Roman" w:hAnsi="Aptos Narrow" w:cs="Times New Roman"/>
                <w:b/>
                <w:bCs/>
                <w:color w:val="FFFFFF"/>
                <w:kern w:val="0"/>
                <w:sz w:val="22"/>
                <w:szCs w:val="22"/>
                <w:lang w:eastAsia="en-GB"/>
                <w14:ligatures w14:val="none"/>
              </w:rPr>
            </w:pPr>
            <w:r w:rsidRPr="00C355E8">
              <w:rPr>
                <w:rFonts w:ascii="Aptos Narrow" w:eastAsia="Times New Roman" w:hAnsi="Aptos Narrow" w:cs="Times New Roman"/>
                <w:b/>
                <w:bCs/>
                <w:color w:val="FFFFFF"/>
                <w:kern w:val="0"/>
                <w:sz w:val="22"/>
                <w:szCs w:val="22"/>
                <w:lang w:eastAsia="en-GB"/>
                <w14:ligatures w14:val="none"/>
              </w:rPr>
              <w:t>Female</w:t>
            </w:r>
          </w:p>
        </w:tc>
        <w:tc>
          <w:tcPr>
            <w:tcW w:w="1177" w:type="dxa"/>
            <w:tcBorders>
              <w:top w:val="single" w:sz="4" w:space="0" w:color="auto"/>
              <w:left w:val="nil"/>
              <w:bottom w:val="single" w:sz="4" w:space="0" w:color="auto"/>
              <w:right w:val="single" w:sz="4" w:space="0" w:color="auto"/>
            </w:tcBorders>
            <w:shd w:val="clear" w:color="000000" w:fill="156082"/>
            <w:noWrap/>
            <w:vAlign w:val="bottom"/>
            <w:hideMark/>
          </w:tcPr>
          <w:p w14:paraId="0F87A132" w14:textId="77777777" w:rsidR="00C355E8" w:rsidRPr="00C355E8" w:rsidRDefault="00C355E8" w:rsidP="00C355E8">
            <w:pPr>
              <w:spacing w:after="0"/>
              <w:ind w:left="0"/>
              <w:rPr>
                <w:rFonts w:ascii="Aptos Narrow" w:eastAsia="Times New Roman" w:hAnsi="Aptos Narrow" w:cs="Times New Roman"/>
                <w:b/>
                <w:bCs/>
                <w:color w:val="FFFFFF"/>
                <w:kern w:val="0"/>
                <w:sz w:val="22"/>
                <w:szCs w:val="22"/>
                <w:lang w:eastAsia="en-GB"/>
                <w14:ligatures w14:val="none"/>
              </w:rPr>
            </w:pPr>
            <w:r w:rsidRPr="00C355E8">
              <w:rPr>
                <w:rFonts w:ascii="Aptos Narrow" w:eastAsia="Times New Roman" w:hAnsi="Aptos Narrow" w:cs="Times New Roman"/>
                <w:b/>
                <w:bCs/>
                <w:color w:val="FFFFFF"/>
                <w:kern w:val="0"/>
                <w:sz w:val="22"/>
                <w:szCs w:val="22"/>
                <w:lang w:eastAsia="en-GB"/>
                <w14:ligatures w14:val="none"/>
              </w:rPr>
              <w:t>Difference</w:t>
            </w:r>
          </w:p>
        </w:tc>
        <w:tc>
          <w:tcPr>
            <w:tcW w:w="1140" w:type="dxa"/>
            <w:tcBorders>
              <w:top w:val="single" w:sz="4" w:space="0" w:color="auto"/>
              <w:left w:val="nil"/>
              <w:bottom w:val="single" w:sz="4" w:space="0" w:color="auto"/>
              <w:right w:val="single" w:sz="4" w:space="0" w:color="auto"/>
            </w:tcBorders>
            <w:shd w:val="clear" w:color="000000" w:fill="156082"/>
            <w:noWrap/>
            <w:vAlign w:val="bottom"/>
            <w:hideMark/>
          </w:tcPr>
          <w:p w14:paraId="613FAF16" w14:textId="77777777" w:rsidR="00C355E8" w:rsidRPr="00C355E8" w:rsidRDefault="00C355E8" w:rsidP="00C355E8">
            <w:pPr>
              <w:spacing w:after="0"/>
              <w:ind w:left="0"/>
              <w:rPr>
                <w:rFonts w:ascii="Aptos Narrow" w:eastAsia="Times New Roman" w:hAnsi="Aptos Narrow" w:cs="Times New Roman"/>
                <w:b/>
                <w:bCs/>
                <w:color w:val="FFFFFF"/>
                <w:kern w:val="0"/>
                <w:sz w:val="22"/>
                <w:szCs w:val="22"/>
                <w:lang w:eastAsia="en-GB"/>
                <w14:ligatures w14:val="none"/>
              </w:rPr>
            </w:pPr>
            <w:r w:rsidRPr="00C355E8">
              <w:rPr>
                <w:rFonts w:ascii="Aptos Narrow" w:eastAsia="Times New Roman" w:hAnsi="Aptos Narrow" w:cs="Times New Roman"/>
                <w:b/>
                <w:bCs/>
                <w:color w:val="FFFFFF"/>
                <w:kern w:val="0"/>
                <w:sz w:val="22"/>
                <w:szCs w:val="22"/>
                <w:lang w:eastAsia="en-GB"/>
                <w14:ligatures w14:val="none"/>
              </w:rPr>
              <w:t>Pay Gap %</w:t>
            </w:r>
          </w:p>
        </w:tc>
      </w:tr>
      <w:tr w:rsidR="00C355E8" w:rsidRPr="00C355E8" w14:paraId="536C2A66" w14:textId="77777777" w:rsidTr="00891D98">
        <w:trPr>
          <w:trHeight w:val="290"/>
        </w:trPr>
        <w:tc>
          <w:tcPr>
            <w:tcW w:w="2151" w:type="dxa"/>
            <w:tcBorders>
              <w:top w:val="nil"/>
              <w:left w:val="single" w:sz="4" w:space="0" w:color="auto"/>
              <w:bottom w:val="single" w:sz="4" w:space="0" w:color="auto"/>
              <w:right w:val="single" w:sz="4" w:space="0" w:color="auto"/>
            </w:tcBorders>
            <w:noWrap/>
            <w:vAlign w:val="bottom"/>
            <w:hideMark/>
          </w:tcPr>
          <w:p w14:paraId="4AC63AFC" w14:textId="77777777" w:rsidR="00C355E8" w:rsidRPr="00C355E8" w:rsidRDefault="00C355E8" w:rsidP="00C355E8">
            <w:pPr>
              <w:spacing w:after="0"/>
              <w:ind w:left="0"/>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2022/2023</w:t>
            </w:r>
          </w:p>
        </w:tc>
        <w:tc>
          <w:tcPr>
            <w:tcW w:w="960" w:type="dxa"/>
            <w:tcBorders>
              <w:top w:val="nil"/>
              <w:left w:val="nil"/>
              <w:bottom w:val="single" w:sz="4" w:space="0" w:color="auto"/>
              <w:right w:val="single" w:sz="4" w:space="0" w:color="auto"/>
            </w:tcBorders>
            <w:noWrap/>
            <w:vAlign w:val="bottom"/>
            <w:hideMark/>
          </w:tcPr>
          <w:p w14:paraId="31D1A605"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3930</w:t>
            </w:r>
          </w:p>
        </w:tc>
        <w:tc>
          <w:tcPr>
            <w:tcW w:w="960" w:type="dxa"/>
            <w:tcBorders>
              <w:top w:val="nil"/>
              <w:left w:val="nil"/>
              <w:bottom w:val="single" w:sz="4" w:space="0" w:color="auto"/>
              <w:right w:val="single" w:sz="4" w:space="0" w:color="auto"/>
            </w:tcBorders>
            <w:noWrap/>
            <w:vAlign w:val="bottom"/>
            <w:hideMark/>
          </w:tcPr>
          <w:p w14:paraId="52DAEACD"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3930</w:t>
            </w:r>
          </w:p>
        </w:tc>
        <w:tc>
          <w:tcPr>
            <w:tcW w:w="1177" w:type="dxa"/>
            <w:tcBorders>
              <w:top w:val="nil"/>
              <w:left w:val="nil"/>
              <w:bottom w:val="single" w:sz="4" w:space="0" w:color="auto"/>
              <w:right w:val="single" w:sz="4" w:space="0" w:color="auto"/>
            </w:tcBorders>
            <w:noWrap/>
            <w:vAlign w:val="bottom"/>
            <w:hideMark/>
          </w:tcPr>
          <w:p w14:paraId="336EA446"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0.00</w:t>
            </w:r>
          </w:p>
        </w:tc>
        <w:tc>
          <w:tcPr>
            <w:tcW w:w="1140" w:type="dxa"/>
            <w:tcBorders>
              <w:top w:val="nil"/>
              <w:left w:val="nil"/>
              <w:bottom w:val="single" w:sz="4" w:space="0" w:color="auto"/>
              <w:right w:val="single" w:sz="4" w:space="0" w:color="auto"/>
            </w:tcBorders>
            <w:noWrap/>
            <w:vAlign w:val="bottom"/>
            <w:hideMark/>
          </w:tcPr>
          <w:p w14:paraId="36A0D730"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0.00</w:t>
            </w:r>
          </w:p>
        </w:tc>
      </w:tr>
      <w:tr w:rsidR="00C355E8" w:rsidRPr="00C355E8" w14:paraId="18D4BDAD" w14:textId="77777777" w:rsidTr="00891D98">
        <w:trPr>
          <w:trHeight w:val="290"/>
        </w:trPr>
        <w:tc>
          <w:tcPr>
            <w:tcW w:w="2151" w:type="dxa"/>
            <w:tcBorders>
              <w:top w:val="nil"/>
              <w:left w:val="single" w:sz="4" w:space="0" w:color="auto"/>
              <w:bottom w:val="single" w:sz="4" w:space="0" w:color="auto"/>
              <w:right w:val="single" w:sz="4" w:space="0" w:color="auto"/>
            </w:tcBorders>
            <w:noWrap/>
            <w:vAlign w:val="bottom"/>
            <w:hideMark/>
          </w:tcPr>
          <w:p w14:paraId="77A35C59" w14:textId="77777777" w:rsidR="00C355E8" w:rsidRPr="00C355E8" w:rsidRDefault="00C355E8" w:rsidP="00C355E8">
            <w:pPr>
              <w:spacing w:after="0"/>
              <w:ind w:left="0"/>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2023/2024</w:t>
            </w:r>
          </w:p>
        </w:tc>
        <w:tc>
          <w:tcPr>
            <w:tcW w:w="960" w:type="dxa"/>
            <w:tcBorders>
              <w:top w:val="nil"/>
              <w:left w:val="nil"/>
              <w:bottom w:val="single" w:sz="4" w:space="0" w:color="auto"/>
              <w:right w:val="single" w:sz="4" w:space="0" w:color="auto"/>
            </w:tcBorders>
            <w:noWrap/>
            <w:vAlign w:val="bottom"/>
            <w:hideMark/>
          </w:tcPr>
          <w:p w14:paraId="511AC59B"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3475</w:t>
            </w:r>
          </w:p>
        </w:tc>
        <w:tc>
          <w:tcPr>
            <w:tcW w:w="960" w:type="dxa"/>
            <w:tcBorders>
              <w:top w:val="nil"/>
              <w:left w:val="nil"/>
              <w:bottom w:val="single" w:sz="4" w:space="0" w:color="auto"/>
              <w:right w:val="single" w:sz="4" w:space="0" w:color="auto"/>
            </w:tcBorders>
            <w:noWrap/>
            <w:vAlign w:val="bottom"/>
            <w:hideMark/>
          </w:tcPr>
          <w:p w14:paraId="0B1BAE24"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3475</w:t>
            </w:r>
          </w:p>
        </w:tc>
        <w:tc>
          <w:tcPr>
            <w:tcW w:w="1177" w:type="dxa"/>
            <w:tcBorders>
              <w:top w:val="nil"/>
              <w:left w:val="nil"/>
              <w:bottom w:val="single" w:sz="4" w:space="0" w:color="auto"/>
              <w:right w:val="single" w:sz="4" w:space="0" w:color="auto"/>
            </w:tcBorders>
            <w:noWrap/>
            <w:vAlign w:val="bottom"/>
            <w:hideMark/>
          </w:tcPr>
          <w:p w14:paraId="3FF464F5"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0.00</w:t>
            </w:r>
          </w:p>
        </w:tc>
        <w:tc>
          <w:tcPr>
            <w:tcW w:w="1140" w:type="dxa"/>
            <w:tcBorders>
              <w:top w:val="nil"/>
              <w:left w:val="nil"/>
              <w:bottom w:val="single" w:sz="4" w:space="0" w:color="auto"/>
              <w:right w:val="single" w:sz="4" w:space="0" w:color="auto"/>
            </w:tcBorders>
            <w:noWrap/>
            <w:vAlign w:val="bottom"/>
            <w:hideMark/>
          </w:tcPr>
          <w:p w14:paraId="1DD1E897"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0.00</w:t>
            </w:r>
          </w:p>
        </w:tc>
      </w:tr>
      <w:tr w:rsidR="00C355E8" w:rsidRPr="00C355E8" w14:paraId="3ED66148" w14:textId="77777777" w:rsidTr="00891D98">
        <w:trPr>
          <w:trHeight w:val="290"/>
        </w:trPr>
        <w:tc>
          <w:tcPr>
            <w:tcW w:w="2151" w:type="dxa"/>
            <w:tcBorders>
              <w:top w:val="nil"/>
              <w:left w:val="single" w:sz="4" w:space="0" w:color="auto"/>
              <w:bottom w:val="single" w:sz="4" w:space="0" w:color="auto"/>
              <w:right w:val="single" w:sz="4" w:space="0" w:color="auto"/>
            </w:tcBorders>
            <w:noWrap/>
            <w:vAlign w:val="bottom"/>
            <w:hideMark/>
          </w:tcPr>
          <w:p w14:paraId="347D6100" w14:textId="77777777" w:rsidR="00C355E8" w:rsidRPr="00C355E8" w:rsidRDefault="00C355E8" w:rsidP="00C355E8">
            <w:pPr>
              <w:spacing w:after="0"/>
              <w:ind w:left="0"/>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2024/2025</w:t>
            </w:r>
          </w:p>
        </w:tc>
        <w:tc>
          <w:tcPr>
            <w:tcW w:w="960" w:type="dxa"/>
            <w:tcBorders>
              <w:top w:val="nil"/>
              <w:left w:val="nil"/>
              <w:bottom w:val="single" w:sz="4" w:space="0" w:color="auto"/>
              <w:right w:val="single" w:sz="4" w:space="0" w:color="auto"/>
            </w:tcBorders>
            <w:noWrap/>
            <w:vAlign w:val="bottom"/>
            <w:hideMark/>
          </w:tcPr>
          <w:p w14:paraId="48FF1DF5"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7540</w:t>
            </w:r>
          </w:p>
        </w:tc>
        <w:tc>
          <w:tcPr>
            <w:tcW w:w="960" w:type="dxa"/>
            <w:tcBorders>
              <w:top w:val="nil"/>
              <w:left w:val="nil"/>
              <w:bottom w:val="single" w:sz="4" w:space="0" w:color="auto"/>
              <w:right w:val="single" w:sz="4" w:space="0" w:color="auto"/>
            </w:tcBorders>
            <w:noWrap/>
            <w:vAlign w:val="bottom"/>
            <w:hideMark/>
          </w:tcPr>
          <w:p w14:paraId="7E2D1B7D"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5881</w:t>
            </w:r>
          </w:p>
        </w:tc>
        <w:tc>
          <w:tcPr>
            <w:tcW w:w="1177" w:type="dxa"/>
            <w:tcBorders>
              <w:top w:val="nil"/>
              <w:left w:val="nil"/>
              <w:bottom w:val="single" w:sz="4" w:space="0" w:color="auto"/>
              <w:right w:val="single" w:sz="4" w:space="0" w:color="auto"/>
            </w:tcBorders>
            <w:noWrap/>
            <w:vAlign w:val="bottom"/>
            <w:hideMark/>
          </w:tcPr>
          <w:p w14:paraId="2384824C"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1659</w:t>
            </w:r>
          </w:p>
        </w:tc>
        <w:tc>
          <w:tcPr>
            <w:tcW w:w="1140" w:type="dxa"/>
            <w:tcBorders>
              <w:top w:val="nil"/>
              <w:left w:val="nil"/>
              <w:bottom w:val="single" w:sz="4" w:space="0" w:color="auto"/>
              <w:right w:val="single" w:sz="4" w:space="0" w:color="auto"/>
            </w:tcBorders>
            <w:noWrap/>
            <w:vAlign w:val="bottom"/>
            <w:hideMark/>
          </w:tcPr>
          <w:p w14:paraId="2D876910" w14:textId="77777777" w:rsidR="00C355E8" w:rsidRPr="00C355E8" w:rsidRDefault="00C355E8" w:rsidP="00C355E8">
            <w:pPr>
              <w:spacing w:after="0"/>
              <w:ind w:left="0"/>
              <w:jc w:val="right"/>
              <w:rPr>
                <w:rFonts w:ascii="Aptos Narrow" w:eastAsia="Times New Roman" w:hAnsi="Aptos Narrow" w:cs="Times New Roman"/>
                <w:color w:val="000000"/>
                <w:kern w:val="0"/>
                <w:sz w:val="22"/>
                <w:szCs w:val="22"/>
                <w:lang w:eastAsia="en-GB"/>
                <w14:ligatures w14:val="none"/>
              </w:rPr>
            </w:pPr>
            <w:r w:rsidRPr="00C355E8">
              <w:rPr>
                <w:rFonts w:ascii="Aptos Narrow" w:eastAsia="Times New Roman" w:hAnsi="Aptos Narrow" w:cs="Times New Roman"/>
                <w:color w:val="000000"/>
                <w:kern w:val="0"/>
                <w:sz w:val="22"/>
                <w:szCs w:val="22"/>
                <w:lang w:eastAsia="en-GB"/>
                <w14:ligatures w14:val="none"/>
              </w:rPr>
              <w:t>22.00</w:t>
            </w:r>
          </w:p>
        </w:tc>
      </w:tr>
    </w:tbl>
    <w:p w14:paraId="01C41D27" w14:textId="508B32B8" w:rsidR="00A10016" w:rsidRDefault="00A10016" w:rsidP="00C355E8">
      <w:pPr>
        <w:pStyle w:val="NormalWeb"/>
        <w:spacing w:before="0" w:beforeAutospacing="0" w:after="0" w:afterAutospacing="0"/>
        <w:rPr>
          <w:rFonts w:ascii="Calibri" w:hAnsi="Calibri" w:cs="Calibri"/>
        </w:rPr>
      </w:pPr>
    </w:p>
    <w:p w14:paraId="58474AA7" w14:textId="137A818B" w:rsidR="006C37BE" w:rsidRPr="006C37BE" w:rsidRDefault="00891D98" w:rsidP="00C46A2A">
      <w:pPr>
        <w:pStyle w:val="NormalWeb"/>
        <w:spacing w:before="0" w:beforeAutospacing="0" w:after="0" w:afterAutospacing="0"/>
        <w:ind w:left="-57"/>
        <w:rPr>
          <w:rFonts w:ascii="Calibri" w:hAnsi="Calibri" w:cs="Calibri"/>
        </w:rPr>
      </w:pPr>
      <w:r>
        <w:rPr>
          <w:rFonts w:ascii="Calibri" w:hAnsi="Calibri" w:cs="Calibri"/>
        </w:rPr>
        <w:t xml:space="preserve">    </w:t>
      </w:r>
      <w:r w:rsidR="00E16995">
        <w:rPr>
          <w:rFonts w:ascii="Calibri" w:hAnsi="Calibri" w:cs="Calibri"/>
        </w:rPr>
        <w:t>4</w:t>
      </w:r>
      <w:r w:rsidR="00C46A2A">
        <w:rPr>
          <w:rFonts w:ascii="Calibri" w:hAnsi="Calibri" w:cs="Calibri"/>
        </w:rPr>
        <w:t>.4</w:t>
      </w:r>
      <w:r w:rsidR="00A10016">
        <w:rPr>
          <w:rFonts w:ascii="Calibri" w:hAnsi="Calibri" w:cs="Calibri"/>
        </w:rPr>
        <w:t xml:space="preserve">   </w:t>
      </w:r>
      <w:r w:rsidR="006C37BE" w:rsidRPr="006C37BE">
        <w:rPr>
          <w:rFonts w:ascii="Calibri" w:hAnsi="Calibri" w:cs="Calibri"/>
        </w:rPr>
        <w:t xml:space="preserve">The mean payment gap for Local Clinical Excellence Awards (LCEAs) has increased </w:t>
      </w:r>
    </w:p>
    <w:p w14:paraId="5B34C6B7" w14:textId="6F18109F" w:rsidR="006C37BE" w:rsidRPr="006C37BE" w:rsidRDefault="006C37BE" w:rsidP="00C46A2A">
      <w:pPr>
        <w:pStyle w:val="NormalWeb"/>
        <w:spacing w:before="0" w:beforeAutospacing="0" w:after="0" w:afterAutospacing="0"/>
        <w:ind w:left="-57"/>
        <w:rPr>
          <w:rFonts w:ascii="Calibri" w:hAnsi="Calibri" w:cs="Calibri"/>
        </w:rPr>
      </w:pPr>
      <w:r w:rsidRPr="006C37BE">
        <w:rPr>
          <w:rFonts w:ascii="Calibri" w:hAnsi="Calibri" w:cs="Calibri"/>
        </w:rPr>
        <w:t xml:space="preserve">         </w:t>
      </w:r>
      <w:r w:rsidR="00C46A2A">
        <w:rPr>
          <w:rFonts w:ascii="Calibri" w:hAnsi="Calibri" w:cs="Calibri"/>
        </w:rPr>
        <w:t xml:space="preserve"> </w:t>
      </w:r>
      <w:r w:rsidRPr="006C37BE">
        <w:rPr>
          <w:rFonts w:ascii="Calibri" w:hAnsi="Calibri" w:cs="Calibri"/>
        </w:rPr>
        <w:t xml:space="preserve"> </w:t>
      </w:r>
      <w:r w:rsidR="00C46A2A">
        <w:rPr>
          <w:rFonts w:ascii="Calibri" w:hAnsi="Calibri" w:cs="Calibri"/>
        </w:rPr>
        <w:t xml:space="preserve">  </w:t>
      </w:r>
      <w:r w:rsidRPr="006C37BE">
        <w:rPr>
          <w:rFonts w:ascii="Calibri" w:hAnsi="Calibri" w:cs="Calibri"/>
        </w:rPr>
        <w:t xml:space="preserve">from </w:t>
      </w:r>
      <w:r w:rsidRPr="006C37BE">
        <w:rPr>
          <w:rStyle w:val="Strong"/>
          <w:rFonts w:ascii="Calibri" w:eastAsiaTheme="majorEastAsia" w:hAnsi="Calibri" w:cs="Calibri"/>
          <w:b w:val="0"/>
          <w:bCs w:val="0"/>
        </w:rPr>
        <w:t>23.13% to 55% in favour of male colleagues</w:t>
      </w:r>
      <w:r w:rsidRPr="006C37BE">
        <w:rPr>
          <w:rFonts w:ascii="Calibri" w:hAnsi="Calibri" w:cs="Calibri"/>
        </w:rPr>
        <w:t xml:space="preserve"> within the Medical and Dental staff </w:t>
      </w:r>
    </w:p>
    <w:p w14:paraId="14E81C51" w14:textId="5BA79757" w:rsidR="006C37BE" w:rsidRPr="006C37BE" w:rsidRDefault="006C37BE" w:rsidP="00C46A2A">
      <w:pPr>
        <w:pStyle w:val="NormalWeb"/>
        <w:spacing w:before="0" w:beforeAutospacing="0" w:after="0" w:afterAutospacing="0"/>
        <w:ind w:left="-57"/>
        <w:rPr>
          <w:rFonts w:ascii="Calibri" w:hAnsi="Calibri" w:cs="Calibri"/>
        </w:rPr>
      </w:pPr>
      <w:r w:rsidRPr="006C37BE">
        <w:rPr>
          <w:rFonts w:ascii="Calibri" w:hAnsi="Calibri" w:cs="Calibri"/>
        </w:rPr>
        <w:t xml:space="preserve">          </w:t>
      </w:r>
      <w:r w:rsidR="00C46A2A">
        <w:rPr>
          <w:rFonts w:ascii="Calibri" w:hAnsi="Calibri" w:cs="Calibri"/>
        </w:rPr>
        <w:t xml:space="preserve">   </w:t>
      </w:r>
      <w:r w:rsidRPr="006C37BE">
        <w:rPr>
          <w:rFonts w:ascii="Calibri" w:hAnsi="Calibri" w:cs="Calibri"/>
        </w:rPr>
        <w:t xml:space="preserve">group. This rise is linked to changes in the LCEA process introduced on </w:t>
      </w:r>
      <w:r w:rsidRPr="006C37BE">
        <w:rPr>
          <w:rStyle w:val="Strong"/>
          <w:rFonts w:ascii="Calibri" w:eastAsiaTheme="majorEastAsia" w:hAnsi="Calibri" w:cs="Calibri"/>
          <w:b w:val="0"/>
          <w:bCs w:val="0"/>
        </w:rPr>
        <w:t>1 April 2024</w:t>
      </w:r>
      <w:r w:rsidRPr="006C37BE">
        <w:rPr>
          <w:rFonts w:ascii="Calibri" w:hAnsi="Calibri" w:cs="Calibri"/>
          <w:b/>
          <w:bCs/>
        </w:rPr>
        <w:t>.</w:t>
      </w:r>
      <w:r w:rsidRPr="006C37BE">
        <w:rPr>
          <w:rFonts w:ascii="Calibri" w:hAnsi="Calibri" w:cs="Calibri"/>
        </w:rPr>
        <w:t xml:space="preserve"> </w:t>
      </w:r>
    </w:p>
    <w:p w14:paraId="6C84C191" w14:textId="26648049" w:rsidR="00C46A2A" w:rsidRDefault="006C37BE" w:rsidP="00C46A2A">
      <w:pPr>
        <w:pStyle w:val="NormalWeb"/>
        <w:spacing w:before="0" w:beforeAutospacing="0" w:after="0" w:afterAutospacing="0"/>
        <w:ind w:left="-57"/>
        <w:rPr>
          <w:rFonts w:ascii="Calibri" w:hAnsi="Calibri" w:cs="Calibri"/>
        </w:rPr>
      </w:pPr>
      <w:r w:rsidRPr="006C37BE">
        <w:rPr>
          <w:rFonts w:ascii="Calibri" w:hAnsi="Calibri" w:cs="Calibri"/>
        </w:rPr>
        <w:t xml:space="preserve">         </w:t>
      </w:r>
      <w:r w:rsidR="00C46A2A">
        <w:rPr>
          <w:rFonts w:ascii="Calibri" w:hAnsi="Calibri" w:cs="Calibri"/>
        </w:rPr>
        <w:t xml:space="preserve"> </w:t>
      </w:r>
      <w:r w:rsidRPr="006C37BE">
        <w:rPr>
          <w:rFonts w:ascii="Calibri" w:hAnsi="Calibri" w:cs="Calibri"/>
        </w:rPr>
        <w:t xml:space="preserve"> </w:t>
      </w:r>
      <w:r w:rsidR="00C46A2A">
        <w:rPr>
          <w:rFonts w:ascii="Calibri" w:hAnsi="Calibri" w:cs="Calibri"/>
        </w:rPr>
        <w:t xml:space="preserve">  </w:t>
      </w:r>
      <w:r w:rsidRPr="006C37BE">
        <w:rPr>
          <w:rFonts w:ascii="Calibri" w:hAnsi="Calibri" w:cs="Calibri"/>
        </w:rPr>
        <w:t xml:space="preserve">Previously, all consultants were entitled to an award and received a payment. Since </w:t>
      </w:r>
    </w:p>
    <w:p w14:paraId="1C7306A4" w14:textId="4E6C07E6" w:rsidR="00C46A2A" w:rsidRDefault="00C46A2A" w:rsidP="00C46A2A">
      <w:pPr>
        <w:pStyle w:val="NormalWeb"/>
        <w:spacing w:before="0" w:beforeAutospacing="0" w:after="0" w:afterAutospacing="0"/>
        <w:ind w:left="-57"/>
        <w:rPr>
          <w:rFonts w:ascii="Calibri" w:hAnsi="Calibri" w:cs="Calibri"/>
        </w:rPr>
      </w:pPr>
      <w:r>
        <w:rPr>
          <w:rFonts w:ascii="Calibri" w:hAnsi="Calibri" w:cs="Calibri"/>
        </w:rPr>
        <w:t xml:space="preserve">             </w:t>
      </w:r>
      <w:r w:rsidR="006C37BE" w:rsidRPr="006C37BE">
        <w:rPr>
          <w:rFonts w:ascii="Calibri" w:hAnsi="Calibri" w:cs="Calibri"/>
        </w:rPr>
        <w:t xml:space="preserve">the removal of this entitlement, only those who held an LCEA before the change </w:t>
      </w:r>
    </w:p>
    <w:p w14:paraId="012B0A09" w14:textId="1173BC28" w:rsidR="00C46A2A" w:rsidRDefault="00C46A2A" w:rsidP="00C46A2A">
      <w:pPr>
        <w:pStyle w:val="NormalWeb"/>
        <w:spacing w:before="0" w:beforeAutospacing="0" w:after="0" w:afterAutospacing="0"/>
        <w:ind w:left="-57"/>
        <w:rPr>
          <w:rFonts w:ascii="Calibri" w:hAnsi="Calibri" w:cs="Calibri"/>
        </w:rPr>
      </w:pPr>
      <w:r>
        <w:rPr>
          <w:rFonts w:ascii="Calibri" w:hAnsi="Calibri" w:cs="Calibri"/>
        </w:rPr>
        <w:t xml:space="preserve">             </w:t>
      </w:r>
      <w:r w:rsidR="006C37BE" w:rsidRPr="006C37BE">
        <w:rPr>
          <w:rFonts w:ascii="Calibri" w:hAnsi="Calibri" w:cs="Calibri"/>
        </w:rPr>
        <w:t>continue</w:t>
      </w:r>
      <w:r>
        <w:rPr>
          <w:rFonts w:ascii="Calibri" w:hAnsi="Calibri" w:cs="Calibri"/>
        </w:rPr>
        <w:t xml:space="preserve"> </w:t>
      </w:r>
      <w:r w:rsidR="006C37BE" w:rsidRPr="006C37BE">
        <w:rPr>
          <w:rFonts w:ascii="Calibri" w:hAnsi="Calibri" w:cs="Calibri"/>
        </w:rPr>
        <w:t xml:space="preserve">to  receive recurrent payments. As a result, fewer female consultants are </w:t>
      </w:r>
    </w:p>
    <w:p w14:paraId="2E5789B5" w14:textId="206A2A5A" w:rsidR="00E16995" w:rsidRPr="006C37BE" w:rsidRDefault="00C46A2A" w:rsidP="00C46A2A">
      <w:pPr>
        <w:pStyle w:val="NormalWeb"/>
        <w:spacing w:before="0" w:beforeAutospacing="0" w:after="0" w:afterAutospacing="0"/>
        <w:ind w:left="-57"/>
        <w:rPr>
          <w:rFonts w:ascii="Calibri" w:hAnsi="Calibri" w:cs="Calibri"/>
        </w:rPr>
      </w:pPr>
      <w:r>
        <w:rPr>
          <w:rFonts w:ascii="Calibri" w:hAnsi="Calibri" w:cs="Calibri"/>
        </w:rPr>
        <w:t xml:space="preserve">             </w:t>
      </w:r>
      <w:r w:rsidR="006C37BE" w:rsidRPr="006C37BE">
        <w:rPr>
          <w:rFonts w:ascii="Calibri" w:hAnsi="Calibri" w:cs="Calibri"/>
        </w:rPr>
        <w:t>now applying for or receiving LCEAs, contributing to the widening gap.</w:t>
      </w:r>
    </w:p>
    <w:p w14:paraId="65A1F42C" w14:textId="77777777" w:rsidR="009C20EB" w:rsidRDefault="009C20EB" w:rsidP="00891D98">
      <w:pPr>
        <w:pStyle w:val="NormalWeb"/>
        <w:spacing w:before="0" w:beforeAutospacing="0" w:after="0" w:afterAutospacing="0"/>
        <w:ind w:left="-227"/>
        <w:rPr>
          <w:rFonts w:ascii="Calibri" w:hAnsi="Calibri" w:cs="Calibri"/>
        </w:rPr>
      </w:pPr>
    </w:p>
    <w:p w14:paraId="227D9C25" w14:textId="58C92312" w:rsidR="00C46A2A" w:rsidRDefault="00C46A2A" w:rsidP="00891D98">
      <w:pPr>
        <w:pStyle w:val="NormalWeb"/>
        <w:spacing w:before="0" w:beforeAutospacing="0" w:after="0" w:afterAutospacing="0"/>
        <w:ind w:left="-227"/>
        <w:rPr>
          <w:rFonts w:ascii="Calibri" w:hAnsi="Calibri" w:cs="Calibri"/>
        </w:rPr>
      </w:pPr>
      <w:r>
        <w:rPr>
          <w:rFonts w:ascii="Calibri" w:hAnsi="Calibri" w:cs="Calibri"/>
        </w:rPr>
        <w:t xml:space="preserve">       </w:t>
      </w:r>
      <w:r w:rsidR="004E7D6C">
        <w:rPr>
          <w:rFonts w:ascii="Calibri" w:hAnsi="Calibri" w:cs="Calibri"/>
        </w:rPr>
        <w:t xml:space="preserve">4.3   </w:t>
      </w:r>
      <w:bookmarkStart w:id="4" w:name="_Hlk209075251"/>
      <w:r w:rsidR="004E7D6C">
        <w:rPr>
          <w:rFonts w:ascii="Calibri" w:hAnsi="Calibri" w:cs="Calibri"/>
        </w:rPr>
        <w:t xml:space="preserve">Whilst there has been an overall narrowing of the pay gap since 2022, pay gap trend </w:t>
      </w:r>
    </w:p>
    <w:p w14:paraId="5EB56869" w14:textId="77777777" w:rsidR="00C46A2A" w:rsidRDefault="00C46A2A" w:rsidP="00C46A2A">
      <w:pPr>
        <w:pStyle w:val="NormalWeb"/>
        <w:spacing w:before="0" w:beforeAutospacing="0" w:after="0" w:afterAutospacing="0"/>
        <w:ind w:left="-227"/>
        <w:rPr>
          <w:rFonts w:ascii="Calibri" w:hAnsi="Calibri" w:cs="Calibri"/>
        </w:rPr>
      </w:pPr>
      <w:r>
        <w:rPr>
          <w:rFonts w:ascii="Calibri" w:hAnsi="Calibri" w:cs="Calibri"/>
        </w:rPr>
        <w:t xml:space="preserve">                </w:t>
      </w:r>
      <w:r w:rsidR="004E7D6C">
        <w:rPr>
          <w:rFonts w:ascii="Calibri" w:hAnsi="Calibri" w:cs="Calibri"/>
        </w:rPr>
        <w:t xml:space="preserve">data indicate that targeted work is required to reduce the pay gap </w:t>
      </w:r>
      <w:r w:rsidR="00955577">
        <w:rPr>
          <w:rFonts w:ascii="Calibri" w:hAnsi="Calibri" w:cs="Calibri"/>
        </w:rPr>
        <w:t xml:space="preserve">between </w:t>
      </w:r>
      <w:r w:rsidR="00DB2FD9">
        <w:rPr>
          <w:rFonts w:ascii="Calibri" w:hAnsi="Calibri" w:cs="Calibri"/>
        </w:rPr>
        <w:t>males</w:t>
      </w:r>
      <w:r w:rsidR="006C37BE">
        <w:rPr>
          <w:rFonts w:ascii="Calibri" w:hAnsi="Calibri" w:cs="Calibri"/>
        </w:rPr>
        <w:t xml:space="preserve"> </w:t>
      </w:r>
    </w:p>
    <w:p w14:paraId="3E6B8662" w14:textId="77777777" w:rsidR="00C46A2A" w:rsidRDefault="00C46A2A" w:rsidP="00C46A2A">
      <w:pPr>
        <w:pStyle w:val="NormalWeb"/>
        <w:spacing w:before="0" w:beforeAutospacing="0" w:after="0" w:afterAutospacing="0"/>
        <w:ind w:left="-227"/>
        <w:rPr>
          <w:rFonts w:ascii="Calibri" w:hAnsi="Calibri" w:cs="Calibri"/>
        </w:rPr>
      </w:pPr>
      <w:r>
        <w:rPr>
          <w:rFonts w:ascii="Calibri" w:hAnsi="Calibri" w:cs="Calibri"/>
        </w:rPr>
        <w:t xml:space="preserve">                </w:t>
      </w:r>
      <w:r w:rsidR="006C37BE">
        <w:rPr>
          <w:rFonts w:ascii="Calibri" w:hAnsi="Calibri" w:cs="Calibri"/>
        </w:rPr>
        <w:t>and female</w:t>
      </w:r>
      <w:r>
        <w:rPr>
          <w:rFonts w:ascii="Calibri" w:hAnsi="Calibri" w:cs="Calibri"/>
        </w:rPr>
        <w:t xml:space="preserve"> </w:t>
      </w:r>
      <w:r w:rsidR="004E7D6C">
        <w:rPr>
          <w:rFonts w:ascii="Calibri" w:hAnsi="Calibri" w:cs="Calibri"/>
        </w:rPr>
        <w:t>employees</w:t>
      </w:r>
      <w:r w:rsidR="00092202">
        <w:rPr>
          <w:rFonts w:ascii="Calibri" w:hAnsi="Calibri" w:cs="Calibri"/>
        </w:rPr>
        <w:t>.</w:t>
      </w:r>
      <w:r w:rsidR="00D705BF">
        <w:rPr>
          <w:rFonts w:ascii="Calibri" w:hAnsi="Calibri" w:cs="Calibri"/>
        </w:rPr>
        <w:t xml:space="preserve"> Work is ongoing through the Inclusive </w:t>
      </w:r>
      <w:r w:rsidR="002211FA">
        <w:rPr>
          <w:rFonts w:ascii="Calibri" w:hAnsi="Calibri" w:cs="Calibri"/>
        </w:rPr>
        <w:t xml:space="preserve">Talent Management </w:t>
      </w:r>
    </w:p>
    <w:p w14:paraId="67505FA4" w14:textId="77777777" w:rsidR="00C46A2A" w:rsidRDefault="00C46A2A" w:rsidP="00C46A2A">
      <w:pPr>
        <w:pStyle w:val="NormalWeb"/>
        <w:spacing w:before="0" w:beforeAutospacing="0" w:after="0" w:afterAutospacing="0"/>
        <w:ind w:left="-227"/>
        <w:rPr>
          <w:rFonts w:ascii="Calibri" w:hAnsi="Calibri" w:cs="Calibri"/>
        </w:rPr>
      </w:pPr>
      <w:r>
        <w:rPr>
          <w:rFonts w:ascii="Calibri" w:hAnsi="Calibri" w:cs="Calibri"/>
        </w:rPr>
        <w:t xml:space="preserve">                </w:t>
      </w:r>
      <w:r w:rsidR="002211FA">
        <w:rPr>
          <w:rFonts w:ascii="Calibri" w:hAnsi="Calibri" w:cs="Calibri"/>
        </w:rPr>
        <w:t>Group</w:t>
      </w:r>
      <w:r w:rsidR="00D705BF">
        <w:rPr>
          <w:rFonts w:ascii="Calibri" w:hAnsi="Calibri" w:cs="Calibri"/>
        </w:rPr>
        <w:t xml:space="preserve"> to attract and retain female consultants with more </w:t>
      </w:r>
      <w:r w:rsidR="002211FA">
        <w:rPr>
          <w:rFonts w:ascii="Calibri" w:hAnsi="Calibri" w:cs="Calibri"/>
        </w:rPr>
        <w:t>females</w:t>
      </w:r>
      <w:r w:rsidR="00D705BF">
        <w:rPr>
          <w:rFonts w:ascii="Calibri" w:hAnsi="Calibri" w:cs="Calibri"/>
        </w:rPr>
        <w:t xml:space="preserve"> occupying </w:t>
      </w:r>
      <w:r w:rsidR="00DF268B">
        <w:rPr>
          <w:rFonts w:ascii="Calibri" w:hAnsi="Calibri" w:cs="Calibri"/>
        </w:rPr>
        <w:t xml:space="preserve">trainee </w:t>
      </w:r>
    </w:p>
    <w:p w14:paraId="3D242F48" w14:textId="371E2D80" w:rsidR="00640056" w:rsidRDefault="00C46A2A" w:rsidP="00C46A2A">
      <w:pPr>
        <w:pStyle w:val="NormalWeb"/>
        <w:spacing w:before="0" w:beforeAutospacing="0" w:after="0" w:afterAutospacing="0"/>
        <w:ind w:left="-227"/>
        <w:rPr>
          <w:rFonts w:ascii="Calibri" w:hAnsi="Calibri" w:cs="Calibri"/>
        </w:rPr>
      </w:pPr>
      <w:r>
        <w:rPr>
          <w:rFonts w:ascii="Calibri" w:hAnsi="Calibri" w:cs="Calibri"/>
        </w:rPr>
        <w:t xml:space="preserve">                </w:t>
      </w:r>
      <w:r w:rsidR="00DF268B">
        <w:rPr>
          <w:rFonts w:ascii="Calibri" w:hAnsi="Calibri" w:cs="Calibri"/>
        </w:rPr>
        <w:t>grad</w:t>
      </w:r>
      <w:r>
        <w:rPr>
          <w:rFonts w:ascii="Calibri" w:hAnsi="Calibri" w:cs="Calibri"/>
        </w:rPr>
        <w:t>es</w:t>
      </w:r>
      <w:r w:rsidR="00D705BF">
        <w:rPr>
          <w:rFonts w:ascii="Calibri" w:hAnsi="Calibri" w:cs="Calibri"/>
        </w:rPr>
        <w:t xml:space="preserve"> within the Trust</w:t>
      </w:r>
      <w:r w:rsidR="00DF268B">
        <w:rPr>
          <w:rFonts w:ascii="Calibri" w:hAnsi="Calibri" w:cs="Calibri"/>
        </w:rPr>
        <w:t xml:space="preserve"> compared to previous years.</w:t>
      </w:r>
    </w:p>
    <w:bookmarkEnd w:id="4"/>
    <w:p w14:paraId="37A6C5BD" w14:textId="77777777" w:rsidR="00B6554A" w:rsidRPr="00E16995" w:rsidRDefault="00B6554A" w:rsidP="00D74C53">
      <w:pPr>
        <w:pStyle w:val="NormalWeb"/>
        <w:spacing w:before="0" w:beforeAutospacing="0" w:after="0" w:afterAutospacing="0"/>
        <w:ind w:left="-284"/>
        <w:rPr>
          <w:rFonts w:ascii="Calibri" w:hAnsi="Calibri" w:cs="Calibri"/>
        </w:rPr>
      </w:pPr>
    </w:p>
    <w:p w14:paraId="1FF48A7D" w14:textId="77777777" w:rsidR="00C46A2A" w:rsidRDefault="00D74C53" w:rsidP="00C46A2A">
      <w:pPr>
        <w:pStyle w:val="NormalWeb"/>
        <w:spacing w:before="0" w:beforeAutospacing="0" w:after="0" w:afterAutospacing="0"/>
        <w:ind w:left="-340"/>
        <w:rPr>
          <w:rFonts w:ascii="Arial" w:hAnsi="Arial" w:cs="Arial"/>
          <w:b/>
          <w:bCs/>
        </w:rPr>
      </w:pPr>
      <w:r>
        <w:rPr>
          <w:rFonts w:ascii="Calibri" w:hAnsi="Calibri" w:cs="Calibri"/>
        </w:rPr>
        <w:t xml:space="preserve"> </w:t>
      </w:r>
      <w:r w:rsidR="00C46A2A">
        <w:rPr>
          <w:rFonts w:ascii="Calibri" w:hAnsi="Calibri" w:cs="Calibri"/>
        </w:rPr>
        <w:t xml:space="preserve">        </w:t>
      </w:r>
      <w:r w:rsidR="00E16995" w:rsidRPr="003405F9">
        <w:rPr>
          <w:rFonts w:ascii="Calibri" w:hAnsi="Calibri" w:cs="Calibri"/>
        </w:rPr>
        <w:t>4.</w:t>
      </w:r>
      <w:r>
        <w:rPr>
          <w:rFonts w:ascii="Calibri" w:hAnsi="Calibri" w:cs="Calibri"/>
        </w:rPr>
        <w:t>4</w:t>
      </w:r>
      <w:r w:rsidR="00E16995" w:rsidRPr="003405F9">
        <w:rPr>
          <w:rFonts w:ascii="Calibri" w:hAnsi="Calibri" w:cs="Calibri"/>
        </w:rPr>
        <w:t xml:space="preserve"> </w:t>
      </w:r>
      <w:r w:rsidR="003405F9" w:rsidRPr="003405F9">
        <w:rPr>
          <w:rFonts w:ascii="Calibri" w:hAnsi="Calibri" w:cs="Calibri"/>
        </w:rPr>
        <w:t xml:space="preserve">   </w:t>
      </w:r>
      <w:bookmarkStart w:id="5" w:name="_Hlk209074316"/>
      <w:r w:rsidR="00B6554A" w:rsidRPr="00B6554A">
        <w:rPr>
          <w:rFonts w:ascii="Arial" w:hAnsi="Arial" w:cs="Arial"/>
          <w:b/>
          <w:bCs/>
        </w:rPr>
        <w:t xml:space="preserve">ACTIONS TAKEN </w:t>
      </w:r>
      <w:r w:rsidR="00B6554A">
        <w:rPr>
          <w:rFonts w:ascii="Arial" w:hAnsi="Arial" w:cs="Arial"/>
          <w:b/>
          <w:bCs/>
        </w:rPr>
        <w:t>TO ADDRESS THE</w:t>
      </w:r>
      <w:r w:rsidR="00B6554A" w:rsidRPr="00B6554A">
        <w:rPr>
          <w:rFonts w:ascii="Arial" w:hAnsi="Arial" w:cs="Arial"/>
          <w:b/>
          <w:bCs/>
        </w:rPr>
        <w:t xml:space="preserve"> PAY GAP OVER THE LAST </w:t>
      </w:r>
      <w:r w:rsidR="00C46A2A">
        <w:rPr>
          <w:rFonts w:ascii="Arial" w:hAnsi="Arial" w:cs="Arial"/>
          <w:b/>
          <w:bCs/>
        </w:rPr>
        <w:t xml:space="preserve"> </w:t>
      </w:r>
    </w:p>
    <w:p w14:paraId="286AECE7" w14:textId="1C160A8D" w:rsidR="00B6554A" w:rsidRPr="00C46A2A" w:rsidRDefault="00C46A2A" w:rsidP="00C46A2A">
      <w:pPr>
        <w:pStyle w:val="NormalWeb"/>
        <w:spacing w:before="0" w:beforeAutospacing="0" w:after="0" w:afterAutospacing="0"/>
        <w:ind w:left="-340"/>
        <w:rPr>
          <w:rFonts w:ascii="Arial" w:hAnsi="Arial" w:cs="Arial"/>
          <w:b/>
          <w:bCs/>
        </w:rPr>
      </w:pPr>
      <w:r>
        <w:rPr>
          <w:rFonts w:ascii="Calibri" w:hAnsi="Calibri" w:cs="Calibri"/>
        </w:rPr>
        <w:t xml:space="preserve">                  </w:t>
      </w:r>
      <w:r w:rsidR="00B6554A" w:rsidRPr="00B6554A">
        <w:rPr>
          <w:rFonts w:ascii="Arial" w:hAnsi="Arial" w:cs="Arial"/>
          <w:b/>
          <w:bCs/>
        </w:rPr>
        <w:t>TWELVE MON</w:t>
      </w:r>
      <w:r w:rsidR="00B6554A">
        <w:rPr>
          <w:rFonts w:ascii="Arial" w:hAnsi="Arial" w:cs="Arial"/>
          <w:b/>
          <w:bCs/>
        </w:rPr>
        <w:t>THS</w:t>
      </w:r>
    </w:p>
    <w:p w14:paraId="34085553" w14:textId="77777777" w:rsidR="00B6554A" w:rsidRPr="00B6554A" w:rsidRDefault="00B6554A" w:rsidP="00B6554A">
      <w:pPr>
        <w:pStyle w:val="NormalWeb"/>
        <w:spacing w:before="0" w:beforeAutospacing="0" w:after="0" w:afterAutospacing="0"/>
        <w:ind w:left="-340"/>
        <w:rPr>
          <w:rFonts w:ascii="Calibri" w:hAnsi="Calibri" w:cs="Calibri"/>
        </w:rPr>
      </w:pPr>
    </w:p>
    <w:p w14:paraId="290F1F87" w14:textId="567768ED" w:rsidR="00B6554A" w:rsidRPr="00D705BF" w:rsidRDefault="00B6554A" w:rsidP="00B6554A">
      <w:pPr>
        <w:ind w:left="0"/>
        <w:jc w:val="both"/>
        <w:rPr>
          <w:rFonts w:ascii="Calibri" w:hAnsi="Calibri" w:cs="Calibri"/>
          <w:b/>
          <w:bCs/>
        </w:rPr>
      </w:pPr>
      <w:r>
        <w:rPr>
          <w:rFonts w:ascii="Arial" w:hAnsi="Arial" w:cs="Arial"/>
        </w:rPr>
        <w:t xml:space="preserve">    </w:t>
      </w:r>
      <w:r w:rsidR="00C46A2A">
        <w:rPr>
          <w:rFonts w:ascii="Arial" w:hAnsi="Arial" w:cs="Arial"/>
        </w:rPr>
        <w:t xml:space="preserve">     </w:t>
      </w:r>
      <w:r w:rsidRPr="00D705BF">
        <w:rPr>
          <w:rFonts w:ascii="Calibri" w:hAnsi="Calibri" w:cs="Calibri"/>
        </w:rPr>
        <w:t>The Trust has continued to bridge the gap by implementing the following activities:</w:t>
      </w:r>
    </w:p>
    <w:p w14:paraId="44394E11" w14:textId="7C8E5A82" w:rsidR="00B6554A" w:rsidRPr="00C46A2A" w:rsidRDefault="00C4207A" w:rsidP="00C46A2A">
      <w:pPr>
        <w:pStyle w:val="ListParagraph"/>
        <w:numPr>
          <w:ilvl w:val="0"/>
          <w:numId w:val="38"/>
        </w:numPr>
        <w:suppressAutoHyphens/>
        <w:autoSpaceDN w:val="0"/>
        <w:spacing w:after="0"/>
        <w:jc w:val="both"/>
        <w:rPr>
          <w:rFonts w:ascii="Calibri" w:hAnsi="Calibri" w:cs="Calibri"/>
        </w:rPr>
      </w:pPr>
      <w:r w:rsidRPr="00C46A2A">
        <w:rPr>
          <w:rFonts w:ascii="Calibri" w:hAnsi="Calibri" w:cs="Calibri"/>
        </w:rPr>
        <w:t xml:space="preserve">Employability programmes and career fairs </w:t>
      </w:r>
      <w:r w:rsidR="00B6554A" w:rsidRPr="00C46A2A">
        <w:rPr>
          <w:rFonts w:ascii="Calibri" w:hAnsi="Calibri" w:cs="Calibri"/>
        </w:rPr>
        <w:t xml:space="preserve">targeting women in areas where the Gender Pay Gap is driven, such as medical and dental. </w:t>
      </w:r>
    </w:p>
    <w:p w14:paraId="6574BBB7" w14:textId="77777777" w:rsidR="00B6554A" w:rsidRPr="00C46A2A" w:rsidRDefault="00B6554A" w:rsidP="00C46A2A">
      <w:pPr>
        <w:pStyle w:val="ListParagraph"/>
        <w:numPr>
          <w:ilvl w:val="0"/>
          <w:numId w:val="38"/>
        </w:numPr>
        <w:suppressAutoHyphens/>
        <w:autoSpaceDN w:val="0"/>
        <w:spacing w:after="0"/>
        <w:jc w:val="both"/>
        <w:rPr>
          <w:rFonts w:ascii="Calibri" w:hAnsi="Calibri" w:cs="Calibri"/>
        </w:rPr>
      </w:pPr>
      <w:r w:rsidRPr="00C46A2A">
        <w:rPr>
          <w:rFonts w:ascii="Calibri" w:hAnsi="Calibri" w:cs="Calibri"/>
        </w:rPr>
        <w:t>Promoting policies such as Flexible Working, Shared Parental Leave and Remote / Hybrid Working.</w:t>
      </w:r>
    </w:p>
    <w:p w14:paraId="4A5237A4" w14:textId="77777777" w:rsidR="00B6554A" w:rsidRPr="00C46A2A" w:rsidRDefault="00B6554A" w:rsidP="00C46A2A">
      <w:pPr>
        <w:pStyle w:val="ListParagraph"/>
        <w:numPr>
          <w:ilvl w:val="0"/>
          <w:numId w:val="38"/>
        </w:numPr>
        <w:suppressAutoHyphens/>
        <w:autoSpaceDN w:val="0"/>
        <w:spacing w:after="0"/>
        <w:jc w:val="both"/>
        <w:rPr>
          <w:rFonts w:ascii="Calibri" w:hAnsi="Calibri" w:cs="Calibri"/>
        </w:rPr>
      </w:pPr>
      <w:r w:rsidRPr="00C46A2A">
        <w:rPr>
          <w:rFonts w:ascii="Calibri" w:hAnsi="Calibri" w:cs="Calibri"/>
        </w:rPr>
        <w:t xml:space="preserve">Revising and launching new training for managers on policies. </w:t>
      </w:r>
    </w:p>
    <w:p w14:paraId="4F2D7874" w14:textId="58122EBC" w:rsidR="00B6554A" w:rsidRPr="00C46A2A" w:rsidRDefault="004E7D6C" w:rsidP="00C46A2A">
      <w:pPr>
        <w:pStyle w:val="ListParagraph"/>
        <w:numPr>
          <w:ilvl w:val="0"/>
          <w:numId w:val="38"/>
        </w:numPr>
        <w:suppressAutoHyphens/>
        <w:autoSpaceDN w:val="0"/>
        <w:spacing w:after="0"/>
        <w:jc w:val="both"/>
        <w:rPr>
          <w:rFonts w:ascii="Calibri" w:hAnsi="Calibri" w:cs="Calibri"/>
        </w:rPr>
      </w:pPr>
      <w:r w:rsidRPr="00C46A2A">
        <w:rPr>
          <w:rFonts w:ascii="Calibri" w:hAnsi="Calibri" w:cs="Calibri"/>
        </w:rPr>
        <w:t>Through our Inclusive Talent Management Group, we have</w:t>
      </w:r>
      <w:r w:rsidR="00B6554A" w:rsidRPr="00C46A2A">
        <w:rPr>
          <w:rFonts w:ascii="Calibri" w:hAnsi="Calibri" w:cs="Calibri"/>
        </w:rPr>
        <w:t xml:space="preserve"> focused on</w:t>
      </w:r>
      <w:r w:rsidRPr="00C46A2A">
        <w:rPr>
          <w:rFonts w:ascii="Calibri" w:hAnsi="Calibri" w:cs="Calibri"/>
        </w:rPr>
        <w:t xml:space="preserve"> developing and improving </w:t>
      </w:r>
      <w:r w:rsidR="00B6554A" w:rsidRPr="00C46A2A">
        <w:rPr>
          <w:rFonts w:ascii="Calibri" w:hAnsi="Calibri" w:cs="Calibri"/>
        </w:rPr>
        <w:t xml:space="preserve">talent and promotional processes and improving career conversations as part of the appraisal process. </w:t>
      </w:r>
    </w:p>
    <w:p w14:paraId="1E72C6DF" w14:textId="29AA111D" w:rsidR="00B6554A" w:rsidRPr="00C46A2A" w:rsidRDefault="008A7FB6" w:rsidP="00C46A2A">
      <w:pPr>
        <w:pStyle w:val="ListParagraph"/>
        <w:numPr>
          <w:ilvl w:val="0"/>
          <w:numId w:val="38"/>
        </w:numPr>
        <w:suppressAutoHyphens/>
        <w:autoSpaceDN w:val="0"/>
        <w:spacing w:after="0"/>
        <w:jc w:val="both"/>
        <w:rPr>
          <w:rFonts w:ascii="Calibri" w:hAnsi="Calibri" w:cs="Calibri"/>
        </w:rPr>
      </w:pPr>
      <w:r w:rsidRPr="00C46A2A">
        <w:rPr>
          <w:rFonts w:ascii="Calibri" w:hAnsi="Calibri" w:cs="Calibri"/>
        </w:rPr>
        <w:t>Through our Clinical Women’s network and Women’s network</w:t>
      </w:r>
      <w:r w:rsidR="0090308F" w:rsidRPr="00C46A2A">
        <w:rPr>
          <w:rFonts w:ascii="Calibri" w:hAnsi="Calibri" w:cs="Calibri"/>
        </w:rPr>
        <w:t>, the Trust has</w:t>
      </w:r>
      <w:r w:rsidRPr="00C46A2A">
        <w:rPr>
          <w:rFonts w:ascii="Calibri" w:hAnsi="Calibri" w:cs="Calibri"/>
        </w:rPr>
        <w:t xml:space="preserve"> continued to have</w:t>
      </w:r>
      <w:r w:rsidR="00B6554A" w:rsidRPr="00C46A2A">
        <w:rPr>
          <w:rFonts w:ascii="Calibri" w:hAnsi="Calibri" w:cs="Calibri"/>
        </w:rPr>
        <w:t xml:space="preserve"> career conversations with women across the Trust, supporting </w:t>
      </w:r>
      <w:r w:rsidRPr="00C46A2A">
        <w:rPr>
          <w:rFonts w:ascii="Calibri" w:hAnsi="Calibri" w:cs="Calibri"/>
        </w:rPr>
        <w:t>the Trust</w:t>
      </w:r>
      <w:r w:rsidR="00B6554A" w:rsidRPr="00C46A2A">
        <w:rPr>
          <w:rFonts w:ascii="Calibri" w:hAnsi="Calibri" w:cs="Calibri"/>
        </w:rPr>
        <w:t xml:space="preserve"> in understanding lived experience and recommending actions. </w:t>
      </w:r>
    </w:p>
    <w:p w14:paraId="7F927A8B" w14:textId="04BD26C2" w:rsidR="002D02E1" w:rsidRPr="00C46A2A" w:rsidRDefault="00B6554A" w:rsidP="00C46A2A">
      <w:pPr>
        <w:pStyle w:val="ListParagraph"/>
        <w:numPr>
          <w:ilvl w:val="0"/>
          <w:numId w:val="38"/>
        </w:numPr>
        <w:suppressAutoHyphens/>
        <w:autoSpaceDN w:val="0"/>
        <w:spacing w:after="0"/>
        <w:jc w:val="both"/>
        <w:rPr>
          <w:rFonts w:ascii="Calibri" w:hAnsi="Calibri" w:cs="Calibri"/>
        </w:rPr>
      </w:pPr>
      <w:r w:rsidRPr="00C46A2A">
        <w:rPr>
          <w:rFonts w:ascii="Calibri" w:hAnsi="Calibri" w:cs="Calibri"/>
        </w:rPr>
        <w:t>Comparing pay gaps across the system to identify areas of good practice.</w:t>
      </w:r>
      <w:bookmarkEnd w:id="5"/>
    </w:p>
    <w:p w14:paraId="21335AE9" w14:textId="77777777" w:rsidR="000331DF" w:rsidRDefault="000331DF" w:rsidP="000F504B">
      <w:pPr>
        <w:ind w:left="0"/>
        <w:jc w:val="both"/>
        <w:rPr>
          <w:rFonts w:ascii="Calibri" w:hAnsi="Calibri" w:cs="Calibri"/>
        </w:rPr>
      </w:pPr>
    </w:p>
    <w:p w14:paraId="0765E154" w14:textId="77777777" w:rsidR="00640056" w:rsidRDefault="00640056" w:rsidP="000F504B">
      <w:pPr>
        <w:ind w:left="0"/>
        <w:jc w:val="both"/>
        <w:rPr>
          <w:rFonts w:ascii="Calibri" w:hAnsi="Calibri" w:cs="Calibri"/>
        </w:rPr>
      </w:pPr>
    </w:p>
    <w:p w14:paraId="36C64AFC" w14:textId="77777777" w:rsidR="00640056" w:rsidRDefault="00640056" w:rsidP="000F504B">
      <w:pPr>
        <w:ind w:left="0"/>
        <w:jc w:val="both"/>
        <w:rPr>
          <w:rFonts w:ascii="Calibri" w:hAnsi="Calibri" w:cs="Calibri"/>
        </w:rPr>
      </w:pPr>
    </w:p>
    <w:p w14:paraId="17FA1A5C" w14:textId="77777777" w:rsidR="00640056" w:rsidRDefault="00640056" w:rsidP="000F504B">
      <w:pPr>
        <w:ind w:left="0"/>
        <w:jc w:val="both"/>
        <w:rPr>
          <w:rFonts w:ascii="Calibri" w:hAnsi="Calibri" w:cs="Calibri"/>
        </w:rPr>
      </w:pPr>
    </w:p>
    <w:p w14:paraId="44645595" w14:textId="77777777" w:rsidR="00640056" w:rsidRDefault="00640056" w:rsidP="000F504B">
      <w:pPr>
        <w:ind w:left="0"/>
        <w:jc w:val="both"/>
        <w:rPr>
          <w:rFonts w:ascii="Calibri" w:hAnsi="Calibri" w:cs="Calibri"/>
        </w:rPr>
      </w:pPr>
    </w:p>
    <w:p w14:paraId="62797762" w14:textId="77777777" w:rsidR="00640056" w:rsidRDefault="00640056" w:rsidP="000F504B">
      <w:pPr>
        <w:ind w:left="0"/>
        <w:jc w:val="both"/>
        <w:rPr>
          <w:rFonts w:ascii="Calibri" w:hAnsi="Calibri" w:cs="Calibri"/>
        </w:rPr>
      </w:pPr>
    </w:p>
    <w:p w14:paraId="521B2FCF" w14:textId="77777777" w:rsidR="00640056" w:rsidRDefault="00640056" w:rsidP="000F504B">
      <w:pPr>
        <w:ind w:left="0"/>
        <w:jc w:val="both"/>
        <w:rPr>
          <w:rFonts w:ascii="Calibri" w:hAnsi="Calibri" w:cs="Calibri"/>
        </w:rPr>
      </w:pPr>
    </w:p>
    <w:p w14:paraId="16994184" w14:textId="77777777" w:rsidR="00640056" w:rsidRDefault="00640056" w:rsidP="000F504B">
      <w:pPr>
        <w:ind w:left="0"/>
        <w:jc w:val="both"/>
        <w:rPr>
          <w:rFonts w:ascii="Calibri" w:hAnsi="Calibri" w:cs="Calibri"/>
        </w:rPr>
      </w:pPr>
    </w:p>
    <w:p w14:paraId="2B577BCE" w14:textId="77777777" w:rsidR="00640056" w:rsidRDefault="00640056" w:rsidP="000F504B">
      <w:pPr>
        <w:ind w:left="0"/>
        <w:jc w:val="both"/>
        <w:rPr>
          <w:rFonts w:ascii="Calibri" w:hAnsi="Calibri" w:cs="Calibri"/>
        </w:rPr>
      </w:pPr>
    </w:p>
    <w:p w14:paraId="58D47528" w14:textId="77777777" w:rsidR="00640056" w:rsidRDefault="00640056" w:rsidP="000F504B">
      <w:pPr>
        <w:ind w:left="0"/>
        <w:jc w:val="both"/>
        <w:rPr>
          <w:rFonts w:ascii="Calibri" w:hAnsi="Calibri" w:cs="Calibri"/>
        </w:rPr>
      </w:pPr>
    </w:p>
    <w:p w14:paraId="24FA37BB" w14:textId="77777777" w:rsidR="00640056" w:rsidRDefault="00640056" w:rsidP="000F504B">
      <w:pPr>
        <w:ind w:left="0"/>
        <w:jc w:val="both"/>
        <w:rPr>
          <w:rFonts w:ascii="Calibri" w:hAnsi="Calibri" w:cs="Calibri"/>
        </w:rPr>
      </w:pPr>
    </w:p>
    <w:p w14:paraId="55927696" w14:textId="77777777" w:rsidR="00640056" w:rsidRDefault="00640056" w:rsidP="000F504B">
      <w:pPr>
        <w:ind w:left="0"/>
        <w:jc w:val="both"/>
        <w:rPr>
          <w:rFonts w:ascii="Calibri" w:hAnsi="Calibri" w:cs="Calibri"/>
        </w:rPr>
      </w:pPr>
    </w:p>
    <w:p w14:paraId="0F4D4685" w14:textId="77777777" w:rsidR="00640056" w:rsidRDefault="00640056" w:rsidP="000F504B">
      <w:pPr>
        <w:ind w:left="0"/>
        <w:jc w:val="both"/>
        <w:rPr>
          <w:rFonts w:ascii="Calibri" w:hAnsi="Calibri" w:cs="Calibri"/>
        </w:rPr>
      </w:pPr>
    </w:p>
    <w:p w14:paraId="1BAF891B" w14:textId="77777777" w:rsidR="00640056" w:rsidRDefault="00640056" w:rsidP="000F504B">
      <w:pPr>
        <w:ind w:left="0"/>
        <w:jc w:val="both"/>
        <w:rPr>
          <w:rFonts w:ascii="Calibri" w:hAnsi="Calibri" w:cs="Calibri"/>
        </w:rPr>
      </w:pPr>
    </w:p>
    <w:p w14:paraId="7A676034" w14:textId="77777777" w:rsidR="00640056" w:rsidRDefault="00640056" w:rsidP="000F504B">
      <w:pPr>
        <w:ind w:left="0"/>
        <w:jc w:val="both"/>
        <w:rPr>
          <w:rFonts w:ascii="Calibri" w:hAnsi="Calibri" w:cs="Calibri"/>
        </w:rPr>
      </w:pPr>
    </w:p>
    <w:p w14:paraId="13381B93" w14:textId="77777777" w:rsidR="00640056" w:rsidRDefault="00640056" w:rsidP="000F504B">
      <w:pPr>
        <w:ind w:left="0"/>
        <w:jc w:val="both"/>
        <w:rPr>
          <w:rFonts w:ascii="Calibri" w:hAnsi="Calibri" w:cs="Calibri"/>
        </w:rPr>
      </w:pPr>
    </w:p>
    <w:p w14:paraId="479AC071" w14:textId="77777777" w:rsidR="00640056" w:rsidRDefault="00640056" w:rsidP="000F504B">
      <w:pPr>
        <w:ind w:left="0"/>
        <w:jc w:val="both"/>
        <w:rPr>
          <w:rFonts w:ascii="Calibri" w:hAnsi="Calibri" w:cs="Calibri"/>
        </w:rPr>
      </w:pPr>
    </w:p>
    <w:p w14:paraId="1B2A8AE5" w14:textId="77777777" w:rsidR="00640056" w:rsidRDefault="00640056" w:rsidP="000F504B">
      <w:pPr>
        <w:ind w:left="0"/>
        <w:jc w:val="both"/>
        <w:rPr>
          <w:rFonts w:ascii="Calibri" w:hAnsi="Calibri" w:cs="Calibri"/>
        </w:rPr>
      </w:pPr>
    </w:p>
    <w:p w14:paraId="22D282E3" w14:textId="77777777" w:rsidR="00640056" w:rsidRDefault="00640056" w:rsidP="000F504B">
      <w:pPr>
        <w:ind w:left="0"/>
        <w:jc w:val="both"/>
        <w:rPr>
          <w:rFonts w:ascii="Calibri" w:hAnsi="Calibri" w:cs="Calibri"/>
        </w:rPr>
      </w:pPr>
    </w:p>
    <w:p w14:paraId="78C332C1" w14:textId="2481D2D1" w:rsidR="004E7D6C" w:rsidRDefault="004E7D6C" w:rsidP="00064BEC">
      <w:pPr>
        <w:pStyle w:val="Heading2"/>
      </w:pPr>
      <w:r w:rsidRPr="00313965">
        <w:lastRenderedPageBreak/>
        <w:t>5.0</w:t>
      </w:r>
      <w:r w:rsidR="00313965" w:rsidRPr="00313965">
        <w:t xml:space="preserve">  </w:t>
      </w:r>
      <w:r w:rsidRPr="00313965">
        <w:t xml:space="preserve"> </w:t>
      </w:r>
      <w:r w:rsidR="00313965" w:rsidRPr="00313965">
        <w:t xml:space="preserve"> </w:t>
      </w:r>
      <w:r w:rsidRPr="00313965">
        <w:t xml:space="preserve">Ethnicity Pay Gap Analysis </w:t>
      </w:r>
    </w:p>
    <w:p w14:paraId="716D9234" w14:textId="77777777" w:rsidR="008355F7" w:rsidRDefault="008355F7" w:rsidP="008355F7">
      <w:pPr>
        <w:spacing w:after="0"/>
        <w:ind w:left="-113"/>
        <w:jc w:val="both"/>
        <w:rPr>
          <w:rFonts w:ascii="Calibri" w:hAnsi="Calibri" w:cs="Calibri"/>
        </w:rPr>
      </w:pPr>
      <w:r w:rsidRPr="008355F7">
        <w:rPr>
          <w:rFonts w:ascii="Calibri" w:hAnsi="Calibri" w:cs="Calibri"/>
          <w:b/>
          <w:bCs/>
        </w:rPr>
        <w:t xml:space="preserve">          </w:t>
      </w:r>
      <w:r w:rsidRPr="008355F7">
        <w:rPr>
          <w:rFonts w:ascii="Calibri" w:hAnsi="Calibri" w:cs="Calibri"/>
        </w:rPr>
        <w:t xml:space="preserve">Racial disparities in the UK labour market are well-documented across numerous reviews </w:t>
      </w:r>
      <w:r>
        <w:rPr>
          <w:rFonts w:ascii="Calibri" w:hAnsi="Calibri" w:cs="Calibri"/>
        </w:rPr>
        <w:t xml:space="preserve">      </w:t>
      </w:r>
    </w:p>
    <w:p w14:paraId="2A09C262" w14:textId="77777777" w:rsidR="008355F7" w:rsidRDefault="008355F7" w:rsidP="008355F7">
      <w:pPr>
        <w:spacing w:after="0"/>
        <w:ind w:left="-113"/>
        <w:jc w:val="both"/>
        <w:rPr>
          <w:rFonts w:ascii="Calibri" w:hAnsi="Calibri" w:cs="Calibri"/>
        </w:rPr>
      </w:pPr>
      <w:r>
        <w:rPr>
          <w:rFonts w:ascii="Calibri" w:hAnsi="Calibri" w:cs="Calibri"/>
        </w:rPr>
        <w:t xml:space="preserve">          </w:t>
      </w:r>
      <w:r w:rsidRPr="008355F7">
        <w:rPr>
          <w:rFonts w:ascii="Calibri" w:hAnsi="Calibri" w:cs="Calibri"/>
        </w:rPr>
        <w:t xml:space="preserve">and reports, highlighting both the challenges and opportunities employers face in </w:t>
      </w:r>
      <w:r>
        <w:rPr>
          <w:rFonts w:ascii="Calibri" w:hAnsi="Calibri" w:cs="Calibri"/>
        </w:rPr>
        <w:t xml:space="preserve"> </w:t>
      </w:r>
    </w:p>
    <w:p w14:paraId="0800A95C" w14:textId="3D94BAF2" w:rsidR="008355F7" w:rsidRDefault="008355F7" w:rsidP="008355F7">
      <w:pPr>
        <w:spacing w:after="0"/>
        <w:ind w:left="-113"/>
        <w:jc w:val="both"/>
        <w:rPr>
          <w:rFonts w:ascii="Calibri" w:hAnsi="Calibri" w:cs="Calibri"/>
        </w:rPr>
      </w:pPr>
      <w:r>
        <w:rPr>
          <w:rFonts w:ascii="Calibri" w:hAnsi="Calibri" w:cs="Calibri"/>
        </w:rPr>
        <w:t xml:space="preserve">          </w:t>
      </w:r>
      <w:r w:rsidRPr="008355F7">
        <w:rPr>
          <w:rFonts w:ascii="Calibri" w:hAnsi="Calibri" w:cs="Calibri"/>
        </w:rPr>
        <w:t xml:space="preserve">achieving workplace equity. In anticipation of forthcoming UK Government legislation </w:t>
      </w:r>
    </w:p>
    <w:p w14:paraId="58F0EB5B" w14:textId="77777777" w:rsidR="008355F7" w:rsidRDefault="008355F7" w:rsidP="008355F7">
      <w:pPr>
        <w:spacing w:after="0"/>
        <w:ind w:left="-113"/>
        <w:jc w:val="both"/>
        <w:rPr>
          <w:rFonts w:ascii="Calibri" w:hAnsi="Calibri" w:cs="Calibri"/>
        </w:rPr>
      </w:pPr>
      <w:r>
        <w:rPr>
          <w:rFonts w:ascii="Calibri" w:hAnsi="Calibri" w:cs="Calibri"/>
        </w:rPr>
        <w:t xml:space="preserve">          </w:t>
      </w:r>
      <w:r w:rsidRPr="008355F7">
        <w:rPr>
          <w:rFonts w:ascii="Calibri" w:hAnsi="Calibri" w:cs="Calibri"/>
        </w:rPr>
        <w:t xml:space="preserve">mandating ethnicity pay gap reporting, an analysis has been conducted to examine pay </w:t>
      </w:r>
      <w:r>
        <w:rPr>
          <w:rFonts w:ascii="Calibri" w:hAnsi="Calibri" w:cs="Calibri"/>
        </w:rPr>
        <w:t xml:space="preserve"> </w:t>
      </w:r>
    </w:p>
    <w:p w14:paraId="135701AD" w14:textId="747C43C3" w:rsidR="008355F7" w:rsidRDefault="008355F7" w:rsidP="008355F7">
      <w:pPr>
        <w:spacing w:after="0"/>
        <w:ind w:left="-113"/>
        <w:jc w:val="both"/>
        <w:rPr>
          <w:rFonts w:ascii="Calibri" w:hAnsi="Calibri" w:cs="Calibri"/>
        </w:rPr>
      </w:pPr>
      <w:r>
        <w:rPr>
          <w:rFonts w:ascii="Calibri" w:hAnsi="Calibri" w:cs="Calibri"/>
        </w:rPr>
        <w:t xml:space="preserve">          </w:t>
      </w:r>
      <w:r w:rsidRPr="008355F7">
        <w:rPr>
          <w:rFonts w:ascii="Calibri" w:hAnsi="Calibri" w:cs="Calibri"/>
        </w:rPr>
        <w:t xml:space="preserve">disparities between employees from White backgrounds and those from Black and </w:t>
      </w:r>
    </w:p>
    <w:p w14:paraId="7EDF3286" w14:textId="03283635" w:rsidR="008355F7" w:rsidRDefault="008355F7" w:rsidP="008355F7">
      <w:pPr>
        <w:spacing w:after="0"/>
        <w:ind w:left="-113"/>
        <w:jc w:val="both"/>
        <w:rPr>
          <w:rFonts w:ascii="Calibri" w:hAnsi="Calibri" w:cs="Calibri"/>
        </w:rPr>
      </w:pPr>
      <w:r>
        <w:rPr>
          <w:rFonts w:ascii="Calibri" w:hAnsi="Calibri" w:cs="Calibri"/>
        </w:rPr>
        <w:t xml:space="preserve">          </w:t>
      </w:r>
      <w:r w:rsidRPr="008355F7">
        <w:rPr>
          <w:rFonts w:ascii="Calibri" w:hAnsi="Calibri" w:cs="Calibri"/>
        </w:rPr>
        <w:t xml:space="preserve">other ethnic minority groups. The </w:t>
      </w:r>
      <w:r w:rsidR="00C81321">
        <w:rPr>
          <w:rFonts w:ascii="Calibri" w:hAnsi="Calibri" w:cs="Calibri"/>
        </w:rPr>
        <w:t>analysis</w:t>
      </w:r>
      <w:r w:rsidRPr="008355F7">
        <w:rPr>
          <w:rFonts w:ascii="Calibri" w:hAnsi="Calibri" w:cs="Calibri"/>
        </w:rPr>
        <w:t xml:space="preserve"> aims to identify the underlying causes of these </w:t>
      </w:r>
    </w:p>
    <w:p w14:paraId="66C493C1" w14:textId="2E8B61EA" w:rsidR="008355F7" w:rsidRPr="008355F7" w:rsidRDefault="008355F7" w:rsidP="008355F7">
      <w:pPr>
        <w:spacing w:after="0"/>
        <w:ind w:left="-113"/>
        <w:jc w:val="both"/>
        <w:rPr>
          <w:rFonts w:ascii="Calibri" w:hAnsi="Calibri" w:cs="Calibri"/>
        </w:rPr>
      </w:pPr>
      <w:r>
        <w:rPr>
          <w:rFonts w:ascii="Calibri" w:hAnsi="Calibri" w:cs="Calibri"/>
        </w:rPr>
        <w:t xml:space="preserve">          </w:t>
      </w:r>
      <w:r w:rsidRPr="008355F7">
        <w:rPr>
          <w:rFonts w:ascii="Calibri" w:hAnsi="Calibri" w:cs="Calibri"/>
        </w:rPr>
        <w:t>gaps and propose appropriate actions to address and reduce them.</w:t>
      </w:r>
    </w:p>
    <w:p w14:paraId="4460488A" w14:textId="31453AB9" w:rsidR="008355F7" w:rsidRPr="008355F7" w:rsidRDefault="008355F7" w:rsidP="008355F7">
      <w:pPr>
        <w:spacing w:after="0"/>
        <w:ind w:left="-113"/>
        <w:jc w:val="both"/>
        <w:rPr>
          <w:rFonts w:ascii="Calibri" w:hAnsi="Calibri" w:cs="Calibri"/>
        </w:rPr>
      </w:pPr>
      <w:r w:rsidRPr="008355F7">
        <w:rPr>
          <w:rFonts w:ascii="Calibri" w:hAnsi="Calibri" w:cs="Calibri"/>
        </w:rPr>
        <w:t>.</w:t>
      </w:r>
    </w:p>
    <w:p w14:paraId="4CD9BF32" w14:textId="3D3F4060" w:rsidR="00C81321" w:rsidRPr="00B55289" w:rsidRDefault="00313965" w:rsidP="00C81321">
      <w:pPr>
        <w:spacing w:after="0"/>
        <w:ind w:left="-113"/>
        <w:jc w:val="both"/>
        <w:rPr>
          <w:rFonts w:ascii="Calibri" w:hAnsi="Calibri" w:cs="Calibri"/>
        </w:rPr>
      </w:pPr>
      <w:r w:rsidRPr="00313965">
        <w:rPr>
          <w:rFonts w:ascii="Calibri" w:hAnsi="Calibri" w:cs="Calibri"/>
        </w:rPr>
        <w:t>5.1</w:t>
      </w:r>
      <w:r w:rsidR="00C81321">
        <w:rPr>
          <w:rFonts w:ascii="Calibri" w:hAnsi="Calibri" w:cs="Calibri"/>
        </w:rPr>
        <w:t xml:space="preserve">    </w:t>
      </w:r>
      <w:r w:rsidR="002D02E1">
        <w:rPr>
          <w:rFonts w:ascii="Calibri" w:hAnsi="Calibri" w:cs="Calibri"/>
        </w:rPr>
        <w:t xml:space="preserve"> </w:t>
      </w:r>
      <w:r w:rsidR="00C81321" w:rsidRPr="00B55289">
        <w:rPr>
          <w:rFonts w:ascii="Calibri" w:hAnsi="Calibri" w:cs="Calibri"/>
        </w:rPr>
        <w:t xml:space="preserve">As of 31st March 2025, 54% of the workforce is made up of colleagues from Black,      </w:t>
      </w:r>
    </w:p>
    <w:p w14:paraId="19B66DC4" w14:textId="3541ED74" w:rsidR="0015791D" w:rsidRPr="00B55289" w:rsidRDefault="00C81321" w:rsidP="00C81321">
      <w:pPr>
        <w:spacing w:after="0"/>
        <w:ind w:left="-113"/>
        <w:jc w:val="both"/>
        <w:rPr>
          <w:rFonts w:ascii="Calibri" w:hAnsi="Calibri" w:cs="Calibri"/>
        </w:rPr>
      </w:pPr>
      <w:r w:rsidRPr="00B55289">
        <w:rPr>
          <w:rFonts w:ascii="Calibri" w:hAnsi="Calibri" w:cs="Calibri"/>
        </w:rPr>
        <w:t xml:space="preserve">          </w:t>
      </w:r>
      <w:r w:rsidR="002D02E1">
        <w:rPr>
          <w:rFonts w:ascii="Calibri" w:hAnsi="Calibri" w:cs="Calibri"/>
        </w:rPr>
        <w:t xml:space="preserve">and </w:t>
      </w:r>
      <w:r w:rsidRPr="00B55289">
        <w:rPr>
          <w:rFonts w:ascii="Calibri" w:hAnsi="Calibri" w:cs="Calibri"/>
        </w:rPr>
        <w:t>Ethnic Minority backgrounds, while 46% are White colleagues.</w:t>
      </w:r>
      <w:r w:rsidR="0015791D" w:rsidRPr="00B55289">
        <w:rPr>
          <w:rFonts w:ascii="Calibri" w:hAnsi="Calibri" w:cs="Calibri"/>
        </w:rPr>
        <w:t xml:space="preserve"> Figure 5.1.1  </w:t>
      </w:r>
    </w:p>
    <w:p w14:paraId="5409EE87" w14:textId="0197E6EB" w:rsidR="0015791D" w:rsidRPr="00B55289" w:rsidRDefault="0015791D" w:rsidP="00C81321">
      <w:pPr>
        <w:spacing w:after="0"/>
        <w:ind w:left="-113"/>
        <w:jc w:val="both"/>
        <w:rPr>
          <w:rFonts w:ascii="Calibri" w:hAnsi="Calibri" w:cs="Calibri"/>
        </w:rPr>
      </w:pPr>
      <w:r w:rsidRPr="00B55289">
        <w:rPr>
          <w:rFonts w:ascii="Calibri" w:hAnsi="Calibri" w:cs="Calibri"/>
        </w:rPr>
        <w:t xml:space="preserve">          illustrates the workforce composition disaggregated by ethnic backgrounds using the    </w:t>
      </w:r>
    </w:p>
    <w:p w14:paraId="2B32D05C" w14:textId="3B8274CD" w:rsidR="00313965" w:rsidRPr="00B55289" w:rsidRDefault="0015791D" w:rsidP="00C81321">
      <w:pPr>
        <w:spacing w:after="0"/>
        <w:ind w:left="-113"/>
        <w:jc w:val="both"/>
        <w:rPr>
          <w:rFonts w:ascii="Calibri" w:hAnsi="Calibri" w:cs="Calibri"/>
        </w:rPr>
      </w:pPr>
      <w:r w:rsidRPr="00B55289">
        <w:rPr>
          <w:rFonts w:ascii="Calibri" w:hAnsi="Calibri" w:cs="Calibri"/>
        </w:rPr>
        <w:t xml:space="preserve">          categories in ESR.</w:t>
      </w:r>
    </w:p>
    <w:p w14:paraId="37C9ACE1" w14:textId="77777777" w:rsidR="0015791D" w:rsidRDefault="0015791D" w:rsidP="00C81321">
      <w:pPr>
        <w:spacing w:after="0"/>
        <w:ind w:left="-113"/>
        <w:jc w:val="both"/>
      </w:pPr>
    </w:p>
    <w:p w14:paraId="69FEB767" w14:textId="09E05939" w:rsidR="0015791D" w:rsidRPr="00955577" w:rsidRDefault="0015791D" w:rsidP="00C81321">
      <w:pPr>
        <w:spacing w:after="0"/>
        <w:ind w:left="-113"/>
        <w:jc w:val="both"/>
        <w:rPr>
          <w:rFonts w:ascii="Calibri" w:hAnsi="Calibri" w:cs="Calibri"/>
        </w:rPr>
      </w:pPr>
      <w:r>
        <w:t xml:space="preserve">            </w:t>
      </w:r>
      <w:r w:rsidRPr="00955577">
        <w:rPr>
          <w:rFonts w:ascii="Calibri" w:hAnsi="Calibri" w:cs="Calibri"/>
        </w:rPr>
        <w:t>Figure 5.1.1 Workforce composition within Sandwell and West Birmingham</w:t>
      </w:r>
    </w:p>
    <w:p w14:paraId="6F8C56EF" w14:textId="77777777" w:rsidR="0015791D" w:rsidRPr="00955577" w:rsidRDefault="0015791D" w:rsidP="00C81321">
      <w:pPr>
        <w:spacing w:after="0"/>
        <w:ind w:left="-113"/>
        <w:jc w:val="both"/>
        <w:rPr>
          <w:rFonts w:ascii="Calibri" w:hAnsi="Calibri" w:cs="Calibri"/>
        </w:rPr>
      </w:pPr>
      <w:r w:rsidRPr="00955577">
        <w:rPr>
          <w:rFonts w:ascii="Calibri" w:hAnsi="Calibri" w:cs="Calibri"/>
        </w:rPr>
        <w:t xml:space="preserve">  </w:t>
      </w:r>
    </w:p>
    <w:p w14:paraId="4166F3E4" w14:textId="212BC420" w:rsidR="00C81321" w:rsidRDefault="0015791D" w:rsidP="00C81321">
      <w:pPr>
        <w:spacing w:after="0"/>
        <w:ind w:left="-113"/>
        <w:jc w:val="both"/>
        <w:rPr>
          <w:rFonts w:ascii="Calibri" w:hAnsi="Calibri" w:cs="Calibri"/>
        </w:rPr>
      </w:pPr>
      <w:r>
        <w:rPr>
          <w:rFonts w:ascii="Calibri" w:hAnsi="Calibri" w:cs="Calibri"/>
        </w:rPr>
        <w:t xml:space="preserve">        </w:t>
      </w:r>
      <w:r w:rsidR="00BC7C4E">
        <w:rPr>
          <w:rFonts w:ascii="Calibri" w:hAnsi="Calibri" w:cs="Calibri"/>
        </w:rPr>
        <w:t xml:space="preserve"> </w:t>
      </w:r>
      <w:r w:rsidR="00C22F6B">
        <w:rPr>
          <w:rFonts w:ascii="Calibri" w:hAnsi="Calibri" w:cs="Calibri"/>
        </w:rPr>
        <w:t xml:space="preserve"> </w:t>
      </w:r>
      <w:r>
        <w:rPr>
          <w:rFonts w:ascii="Calibri" w:hAnsi="Calibri" w:cs="Calibri"/>
        </w:rPr>
        <w:t xml:space="preserve"> </w:t>
      </w:r>
      <w:r>
        <w:rPr>
          <w:noProof/>
        </w:rPr>
        <w:drawing>
          <wp:inline distT="0" distB="0" distL="0" distR="0" wp14:anchorId="20737A34" wp14:editId="71EF2927">
            <wp:extent cx="3790950" cy="2024698"/>
            <wp:effectExtent l="0" t="0" r="0" b="13970"/>
            <wp:docPr id="1031707597" name="Chart 1" descr="Pie chart showing ethnicity breakdown within the organisation">
              <a:extLst xmlns:a="http://schemas.openxmlformats.org/drawingml/2006/main">
                <a:ext uri="{FF2B5EF4-FFF2-40B4-BE49-F238E27FC236}">
                  <a16:creationId xmlns:a16="http://schemas.microsoft.com/office/drawing/2014/main" id="{B77DCE53-D6C4-5ED4-5730-14176ED68A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A0E69E" w14:textId="77777777" w:rsidR="00640056" w:rsidRDefault="00640056" w:rsidP="00BC7C4E">
      <w:pPr>
        <w:spacing w:after="0"/>
        <w:ind w:left="0"/>
        <w:jc w:val="both"/>
        <w:rPr>
          <w:rFonts w:ascii="Calibri" w:hAnsi="Calibri" w:cs="Calibri"/>
        </w:rPr>
      </w:pPr>
    </w:p>
    <w:p w14:paraId="08C424B3" w14:textId="7ABB156D" w:rsidR="00650459" w:rsidRPr="00C12211" w:rsidRDefault="0015791D" w:rsidP="00650459">
      <w:pPr>
        <w:spacing w:after="0"/>
        <w:ind w:left="-113"/>
        <w:jc w:val="both"/>
        <w:rPr>
          <w:rFonts w:ascii="Calibri" w:hAnsi="Calibri" w:cs="Calibri"/>
        </w:rPr>
      </w:pPr>
      <w:r>
        <w:rPr>
          <w:rFonts w:ascii="Calibri" w:hAnsi="Calibri" w:cs="Calibri"/>
        </w:rPr>
        <w:t xml:space="preserve">5.2    </w:t>
      </w:r>
      <w:r w:rsidR="00C22F6B">
        <w:rPr>
          <w:rFonts w:ascii="Calibri" w:hAnsi="Calibri" w:cs="Calibri"/>
        </w:rPr>
        <w:t xml:space="preserve"> </w:t>
      </w:r>
      <w:r w:rsidR="00650459" w:rsidRPr="00C12211">
        <w:rPr>
          <w:rFonts w:ascii="Calibri" w:hAnsi="Calibri" w:cs="Calibri"/>
        </w:rPr>
        <w:t>The mean ethnicity pay gap shows a 0.87 pay gap in favour of B</w:t>
      </w:r>
      <w:r w:rsidR="00E011BF">
        <w:rPr>
          <w:rFonts w:ascii="Calibri" w:hAnsi="Calibri" w:cs="Calibri"/>
        </w:rPr>
        <w:t>M</w:t>
      </w:r>
      <w:r w:rsidR="00650459" w:rsidRPr="00C12211">
        <w:rPr>
          <w:rFonts w:ascii="Calibri" w:hAnsi="Calibri" w:cs="Calibri"/>
        </w:rPr>
        <w:t xml:space="preserve">E colleagues, with   </w:t>
      </w:r>
    </w:p>
    <w:p w14:paraId="604BDE8F" w14:textId="016D6EB2" w:rsidR="00650459" w:rsidRPr="00C12211" w:rsidRDefault="00650459" w:rsidP="00650459">
      <w:pPr>
        <w:spacing w:after="0"/>
        <w:ind w:left="-113"/>
        <w:jc w:val="both"/>
        <w:rPr>
          <w:rFonts w:ascii="Calibri" w:hAnsi="Calibri" w:cs="Calibri"/>
        </w:rPr>
      </w:pPr>
      <w:r w:rsidRPr="00C12211">
        <w:rPr>
          <w:rFonts w:ascii="Calibri" w:hAnsi="Calibri" w:cs="Calibri"/>
        </w:rPr>
        <w:t xml:space="preserve">           an overall gap of -4.00% for the 24/25 reporting year . This is an improvement from </w:t>
      </w:r>
    </w:p>
    <w:p w14:paraId="3D13B82B" w14:textId="7631E09E" w:rsidR="00650459" w:rsidRPr="00C12211" w:rsidRDefault="00650459" w:rsidP="00650459">
      <w:pPr>
        <w:spacing w:after="0"/>
        <w:ind w:left="-113"/>
        <w:jc w:val="both"/>
        <w:rPr>
          <w:rFonts w:ascii="Calibri" w:hAnsi="Calibri" w:cs="Calibri"/>
        </w:rPr>
      </w:pPr>
      <w:r w:rsidRPr="00C12211">
        <w:rPr>
          <w:rFonts w:ascii="Calibri" w:hAnsi="Calibri" w:cs="Calibri"/>
        </w:rPr>
        <w:t xml:space="preserve">           5.51% in 2023/24, largely due  to 71% of BME staff being in the Medical and Dental  </w:t>
      </w:r>
    </w:p>
    <w:p w14:paraId="076B4DFD" w14:textId="35C920FC" w:rsidR="00B55289" w:rsidRPr="00C12211" w:rsidRDefault="00650459" w:rsidP="00650459">
      <w:pPr>
        <w:spacing w:after="0"/>
        <w:ind w:left="-113"/>
        <w:jc w:val="both"/>
        <w:rPr>
          <w:rFonts w:ascii="Calibri" w:hAnsi="Calibri" w:cs="Calibri"/>
        </w:rPr>
      </w:pPr>
      <w:r w:rsidRPr="00C12211">
        <w:rPr>
          <w:rFonts w:ascii="Calibri" w:hAnsi="Calibri" w:cs="Calibri"/>
        </w:rPr>
        <w:t xml:space="preserve">           </w:t>
      </w:r>
      <w:r w:rsidR="00C22F6B" w:rsidRPr="00C12211">
        <w:rPr>
          <w:rFonts w:ascii="Calibri" w:hAnsi="Calibri" w:cs="Calibri"/>
        </w:rPr>
        <w:t>W</w:t>
      </w:r>
      <w:r w:rsidRPr="00C12211">
        <w:rPr>
          <w:rFonts w:ascii="Calibri" w:hAnsi="Calibri" w:cs="Calibri"/>
        </w:rPr>
        <w:t>orkforce</w:t>
      </w:r>
      <w:r w:rsidR="00C22F6B" w:rsidRPr="00C12211">
        <w:rPr>
          <w:rFonts w:ascii="Calibri" w:hAnsi="Calibri" w:cs="Calibri"/>
        </w:rPr>
        <w:t>.</w:t>
      </w:r>
    </w:p>
    <w:p w14:paraId="1046131C" w14:textId="77777777" w:rsidR="000331DF" w:rsidRPr="00C12211" w:rsidRDefault="000331DF" w:rsidP="00650459">
      <w:pPr>
        <w:spacing w:after="0"/>
        <w:ind w:left="-113"/>
        <w:jc w:val="both"/>
        <w:rPr>
          <w:rFonts w:ascii="Calibri" w:hAnsi="Calibri" w:cs="Calibri"/>
        </w:rPr>
      </w:pPr>
    </w:p>
    <w:p w14:paraId="274F39F0" w14:textId="59DC3DA1" w:rsidR="00C4207A" w:rsidRDefault="00B55289" w:rsidP="00BC7C4E">
      <w:pPr>
        <w:spacing w:after="0"/>
        <w:ind w:left="-113"/>
        <w:jc w:val="both"/>
        <w:rPr>
          <w:rFonts w:ascii="Calibri" w:hAnsi="Calibri" w:cs="Calibri"/>
        </w:rPr>
      </w:pPr>
      <w:r>
        <w:rPr>
          <w:rFonts w:ascii="Calibri" w:hAnsi="Calibri" w:cs="Calibri"/>
        </w:rPr>
        <w:t xml:space="preserve">5.3   </w:t>
      </w:r>
      <w:r w:rsidR="00C4207A">
        <w:rPr>
          <w:rFonts w:ascii="Calibri" w:hAnsi="Calibri" w:cs="Calibri"/>
        </w:rPr>
        <w:t xml:space="preserve"> </w:t>
      </w:r>
      <w:r>
        <w:rPr>
          <w:rFonts w:ascii="Calibri" w:hAnsi="Calibri" w:cs="Calibri"/>
        </w:rPr>
        <w:t xml:space="preserve"> </w:t>
      </w:r>
      <w:r w:rsidR="00C4207A" w:rsidRPr="00C4207A">
        <w:rPr>
          <w:rFonts w:ascii="Calibri" w:hAnsi="Calibri" w:cs="Calibri"/>
        </w:rPr>
        <w:t xml:space="preserve">Analysis of pay gap data by staff group shows a disparity </w:t>
      </w:r>
      <w:r w:rsidR="00C4207A">
        <w:rPr>
          <w:rFonts w:ascii="Calibri" w:hAnsi="Calibri" w:cs="Calibri"/>
        </w:rPr>
        <w:t>favouring</w:t>
      </w:r>
      <w:r w:rsidR="00C4207A" w:rsidRPr="00C4207A">
        <w:rPr>
          <w:rFonts w:ascii="Calibri" w:hAnsi="Calibri" w:cs="Calibri"/>
        </w:rPr>
        <w:t xml:space="preserve"> White colleagues. In </w:t>
      </w:r>
      <w:r w:rsidR="00C4207A">
        <w:rPr>
          <w:rFonts w:ascii="Calibri" w:hAnsi="Calibri" w:cs="Calibri"/>
        </w:rPr>
        <w:t xml:space="preserve">  </w:t>
      </w:r>
    </w:p>
    <w:p w14:paraId="7053991A" w14:textId="16C7B57E" w:rsidR="00C4207A" w:rsidRDefault="00C4207A" w:rsidP="00BC7C4E">
      <w:pPr>
        <w:spacing w:after="0"/>
        <w:ind w:left="-113"/>
        <w:jc w:val="both"/>
        <w:rPr>
          <w:rFonts w:ascii="Calibri" w:hAnsi="Calibri" w:cs="Calibri"/>
        </w:rPr>
      </w:pPr>
      <w:r>
        <w:rPr>
          <w:rFonts w:ascii="Calibri" w:hAnsi="Calibri" w:cs="Calibri"/>
        </w:rPr>
        <w:t xml:space="preserve">          </w:t>
      </w:r>
      <w:r w:rsidRPr="00C4207A">
        <w:rPr>
          <w:rFonts w:ascii="Calibri" w:hAnsi="Calibri" w:cs="Calibri"/>
        </w:rPr>
        <w:t xml:space="preserve">the Agenda for Change (AfC) pay scales, White staff earn £1.75 more on average than </w:t>
      </w:r>
    </w:p>
    <w:p w14:paraId="093C8675" w14:textId="72830E7F" w:rsidR="00C4207A" w:rsidRDefault="00C4207A" w:rsidP="00BC7C4E">
      <w:pPr>
        <w:spacing w:after="0"/>
        <w:ind w:left="-113"/>
        <w:jc w:val="both"/>
        <w:rPr>
          <w:rFonts w:ascii="Calibri" w:hAnsi="Calibri" w:cs="Calibri"/>
        </w:rPr>
      </w:pPr>
      <w:r>
        <w:rPr>
          <w:rFonts w:ascii="Calibri" w:hAnsi="Calibri" w:cs="Calibri"/>
        </w:rPr>
        <w:t xml:space="preserve">          </w:t>
      </w:r>
      <w:r w:rsidRPr="00C4207A">
        <w:rPr>
          <w:rFonts w:ascii="Calibri" w:hAnsi="Calibri" w:cs="Calibri"/>
        </w:rPr>
        <w:t xml:space="preserve">BME colleagues. Among Medical and Dental staff, the gap increases to £3.93. These </w:t>
      </w:r>
    </w:p>
    <w:p w14:paraId="193CCCA0" w14:textId="049D011B" w:rsidR="00DF3612" w:rsidRDefault="00C4207A" w:rsidP="008A7FB6">
      <w:pPr>
        <w:spacing w:after="0"/>
        <w:ind w:left="-113"/>
        <w:jc w:val="both"/>
        <w:rPr>
          <w:rFonts w:ascii="Calibri" w:hAnsi="Calibri" w:cs="Calibri"/>
        </w:rPr>
      </w:pPr>
      <w:r>
        <w:rPr>
          <w:rFonts w:ascii="Calibri" w:hAnsi="Calibri" w:cs="Calibri"/>
        </w:rPr>
        <w:t xml:space="preserve">          </w:t>
      </w:r>
      <w:r w:rsidRPr="00C4207A">
        <w:rPr>
          <w:rFonts w:ascii="Calibri" w:hAnsi="Calibri" w:cs="Calibri"/>
        </w:rPr>
        <w:t>differences are illustrated in Figure 5.3.1</w:t>
      </w:r>
      <w:r w:rsidR="00DF3612">
        <w:rPr>
          <w:rFonts w:ascii="Calibri" w:hAnsi="Calibri" w:cs="Calibri"/>
        </w:rPr>
        <w:t xml:space="preserve"> belo</w:t>
      </w:r>
      <w:r w:rsidR="00650459">
        <w:rPr>
          <w:rFonts w:ascii="Calibri" w:hAnsi="Calibri" w:cs="Calibri"/>
        </w:rPr>
        <w:t>w.</w:t>
      </w:r>
      <w:r w:rsidR="00B55289" w:rsidRPr="00C4207A">
        <w:rPr>
          <w:rFonts w:ascii="Calibri" w:hAnsi="Calibri" w:cs="Calibri"/>
        </w:rPr>
        <w:t xml:space="preserve">    </w:t>
      </w:r>
    </w:p>
    <w:tbl>
      <w:tblPr>
        <w:tblW w:w="9422" w:type="dxa"/>
        <w:tblInd w:w="426" w:type="dxa"/>
        <w:tblLook w:val="04A0" w:firstRow="1" w:lastRow="0" w:firstColumn="1" w:lastColumn="0" w:noHBand="0" w:noVBand="1"/>
      </w:tblPr>
      <w:tblGrid>
        <w:gridCol w:w="2954"/>
        <w:gridCol w:w="1820"/>
        <w:gridCol w:w="2020"/>
        <w:gridCol w:w="2020"/>
        <w:gridCol w:w="608"/>
      </w:tblGrid>
      <w:tr w:rsidR="00DF3612" w:rsidRPr="00DF3612" w14:paraId="16C64D8B" w14:textId="77777777" w:rsidTr="00C723D7">
        <w:trPr>
          <w:trHeight w:val="290"/>
        </w:trPr>
        <w:tc>
          <w:tcPr>
            <w:tcW w:w="2954" w:type="dxa"/>
            <w:tcBorders>
              <w:top w:val="nil"/>
              <w:left w:val="nil"/>
              <w:bottom w:val="nil"/>
              <w:right w:val="nil"/>
            </w:tcBorders>
            <w:noWrap/>
            <w:vAlign w:val="bottom"/>
            <w:hideMark/>
          </w:tcPr>
          <w:p w14:paraId="4C82C986" w14:textId="44369E5C" w:rsidR="00DF3612" w:rsidRPr="00DF3612" w:rsidRDefault="00DF3612" w:rsidP="00C723D7">
            <w:pPr>
              <w:spacing w:after="0"/>
              <w:ind w:left="-113"/>
              <w:rPr>
                <w:rFonts w:ascii="Aptos Narrow" w:eastAsia="Times New Roman" w:hAnsi="Aptos Narrow" w:cs="Times New Roman"/>
                <w:b/>
                <w:bCs/>
                <w:color w:val="000000"/>
                <w:kern w:val="0"/>
                <w:sz w:val="22"/>
                <w:szCs w:val="22"/>
                <w:lang w:eastAsia="en-GB"/>
                <w14:ligatures w14:val="none"/>
              </w:rPr>
            </w:pPr>
            <w:r>
              <w:rPr>
                <w:rFonts w:ascii="Aptos Narrow" w:eastAsia="Times New Roman" w:hAnsi="Aptos Narrow" w:cs="Times New Roman"/>
                <w:b/>
                <w:bCs/>
                <w:color w:val="000000"/>
                <w:kern w:val="0"/>
                <w:sz w:val="22"/>
                <w:szCs w:val="22"/>
                <w:lang w:eastAsia="en-GB"/>
                <w14:ligatures w14:val="none"/>
              </w:rPr>
              <w:t xml:space="preserve">Figure 5.3.1 </w:t>
            </w:r>
            <w:r w:rsidRPr="00DF3612">
              <w:rPr>
                <w:rFonts w:ascii="Aptos Narrow" w:eastAsia="Times New Roman" w:hAnsi="Aptos Narrow" w:cs="Times New Roman"/>
                <w:b/>
                <w:bCs/>
                <w:color w:val="000000"/>
                <w:kern w:val="0"/>
                <w:sz w:val="22"/>
                <w:szCs w:val="22"/>
                <w:lang w:eastAsia="en-GB"/>
                <w14:ligatures w14:val="none"/>
              </w:rPr>
              <w:t>Staffing 2025 Breakdown</w:t>
            </w:r>
            <w:r>
              <w:rPr>
                <w:rFonts w:ascii="Aptos Narrow" w:eastAsia="Times New Roman" w:hAnsi="Aptos Narrow" w:cs="Times New Roman"/>
                <w:b/>
                <w:bCs/>
                <w:color w:val="000000"/>
                <w:kern w:val="0"/>
                <w:sz w:val="22"/>
                <w:szCs w:val="22"/>
                <w:lang w:eastAsia="en-GB"/>
                <w14:ligatures w14:val="none"/>
              </w:rPr>
              <w:t xml:space="preserve">: </w:t>
            </w:r>
            <w:r w:rsidRPr="00DF3612">
              <w:rPr>
                <w:rFonts w:ascii="Aptos Narrow" w:eastAsia="Times New Roman" w:hAnsi="Aptos Narrow" w:cs="Times New Roman"/>
                <w:b/>
                <w:bCs/>
                <w:color w:val="000000"/>
                <w:kern w:val="0"/>
                <w:sz w:val="22"/>
                <w:szCs w:val="22"/>
                <w:lang w:eastAsia="en-GB"/>
                <w14:ligatures w14:val="none"/>
              </w:rPr>
              <w:t>Mean</w:t>
            </w:r>
            <w:r>
              <w:rPr>
                <w:rFonts w:ascii="Aptos Narrow" w:eastAsia="Times New Roman" w:hAnsi="Aptos Narrow" w:cs="Times New Roman"/>
                <w:b/>
                <w:bCs/>
                <w:color w:val="000000"/>
                <w:kern w:val="0"/>
                <w:sz w:val="22"/>
                <w:szCs w:val="22"/>
                <w:lang w:eastAsia="en-GB"/>
                <w14:ligatures w14:val="none"/>
              </w:rPr>
              <w:t xml:space="preserve"> pay gap</w:t>
            </w:r>
          </w:p>
        </w:tc>
        <w:tc>
          <w:tcPr>
            <w:tcW w:w="1820" w:type="dxa"/>
            <w:tcBorders>
              <w:top w:val="nil"/>
              <w:left w:val="nil"/>
              <w:bottom w:val="nil"/>
              <w:right w:val="nil"/>
            </w:tcBorders>
            <w:noWrap/>
            <w:vAlign w:val="bottom"/>
            <w:hideMark/>
          </w:tcPr>
          <w:p w14:paraId="507A0ABF" w14:textId="77777777" w:rsidR="00DF3612" w:rsidRPr="00DF3612" w:rsidRDefault="00DF3612" w:rsidP="00DF3612">
            <w:pPr>
              <w:spacing w:after="0"/>
              <w:ind w:left="0"/>
              <w:rPr>
                <w:rFonts w:ascii="Aptos Narrow" w:eastAsia="Times New Roman" w:hAnsi="Aptos Narrow" w:cs="Times New Roman"/>
                <w:b/>
                <w:bCs/>
                <w:color w:val="000000"/>
                <w:kern w:val="0"/>
                <w:sz w:val="22"/>
                <w:szCs w:val="22"/>
                <w:lang w:eastAsia="en-GB"/>
                <w14:ligatures w14:val="none"/>
              </w:rPr>
            </w:pPr>
          </w:p>
        </w:tc>
        <w:tc>
          <w:tcPr>
            <w:tcW w:w="2020" w:type="dxa"/>
            <w:tcBorders>
              <w:top w:val="nil"/>
              <w:left w:val="nil"/>
              <w:bottom w:val="nil"/>
              <w:right w:val="nil"/>
            </w:tcBorders>
            <w:noWrap/>
            <w:vAlign w:val="bottom"/>
            <w:hideMark/>
          </w:tcPr>
          <w:p w14:paraId="74FB1EE5" w14:textId="77777777" w:rsidR="00DF3612" w:rsidRPr="00DF3612" w:rsidRDefault="00DF3612" w:rsidP="00DF3612">
            <w:pPr>
              <w:spacing w:after="0"/>
              <w:ind w:left="0"/>
              <w:rPr>
                <w:rFonts w:ascii="Times New Roman" w:eastAsia="Times New Roman" w:hAnsi="Times New Roman" w:cs="Times New Roman"/>
                <w:kern w:val="0"/>
                <w:sz w:val="20"/>
                <w:szCs w:val="20"/>
                <w:lang w:eastAsia="en-GB"/>
                <w14:ligatures w14:val="none"/>
              </w:rPr>
            </w:pPr>
          </w:p>
        </w:tc>
        <w:tc>
          <w:tcPr>
            <w:tcW w:w="2020" w:type="dxa"/>
            <w:tcBorders>
              <w:top w:val="nil"/>
              <w:left w:val="nil"/>
              <w:bottom w:val="nil"/>
              <w:right w:val="nil"/>
            </w:tcBorders>
            <w:noWrap/>
            <w:vAlign w:val="bottom"/>
            <w:hideMark/>
          </w:tcPr>
          <w:p w14:paraId="60DD2B67" w14:textId="77777777" w:rsidR="00DF3612" w:rsidRPr="00DF3612" w:rsidRDefault="00DF3612" w:rsidP="00DF3612">
            <w:pPr>
              <w:spacing w:after="0"/>
              <w:ind w:left="0"/>
              <w:rPr>
                <w:rFonts w:ascii="Times New Roman" w:eastAsia="Times New Roman" w:hAnsi="Times New Roman" w:cs="Times New Roman"/>
                <w:kern w:val="0"/>
                <w:sz w:val="20"/>
                <w:szCs w:val="20"/>
                <w:lang w:eastAsia="en-GB"/>
                <w14:ligatures w14:val="none"/>
              </w:rPr>
            </w:pPr>
          </w:p>
        </w:tc>
        <w:tc>
          <w:tcPr>
            <w:tcW w:w="608" w:type="dxa"/>
            <w:tcBorders>
              <w:top w:val="nil"/>
              <w:left w:val="nil"/>
              <w:bottom w:val="nil"/>
              <w:right w:val="nil"/>
            </w:tcBorders>
            <w:noWrap/>
            <w:vAlign w:val="bottom"/>
            <w:hideMark/>
          </w:tcPr>
          <w:p w14:paraId="1FD70422" w14:textId="77777777" w:rsidR="00DF3612" w:rsidRPr="00DF3612" w:rsidRDefault="00DF3612" w:rsidP="00DF3612">
            <w:pPr>
              <w:spacing w:after="0"/>
              <w:ind w:left="0"/>
              <w:rPr>
                <w:rFonts w:ascii="Times New Roman" w:eastAsia="Times New Roman" w:hAnsi="Times New Roman" w:cs="Times New Roman"/>
                <w:kern w:val="0"/>
                <w:sz w:val="20"/>
                <w:szCs w:val="20"/>
                <w:lang w:eastAsia="en-GB"/>
                <w14:ligatures w14:val="none"/>
              </w:rPr>
            </w:pPr>
          </w:p>
        </w:tc>
      </w:tr>
      <w:tr w:rsidR="00DF3612" w:rsidRPr="00DF3612" w14:paraId="0E04E04B" w14:textId="77777777" w:rsidTr="00C723D7">
        <w:trPr>
          <w:trHeight w:val="290"/>
        </w:trPr>
        <w:tc>
          <w:tcPr>
            <w:tcW w:w="2954"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50998205" w14:textId="77777777" w:rsidR="00DF3612" w:rsidRPr="00DF3612" w:rsidRDefault="00DF3612" w:rsidP="00DF3612">
            <w:pPr>
              <w:spacing w:after="0"/>
              <w:ind w:left="0"/>
              <w:rPr>
                <w:rFonts w:ascii="Aptos Narrow" w:eastAsia="Times New Roman" w:hAnsi="Aptos Narrow" w:cs="Times New Roman"/>
                <w:b/>
                <w:bCs/>
                <w:color w:val="FFFFFF"/>
                <w:kern w:val="0"/>
                <w:sz w:val="22"/>
                <w:szCs w:val="22"/>
                <w:lang w:eastAsia="en-GB"/>
                <w14:ligatures w14:val="none"/>
              </w:rPr>
            </w:pPr>
            <w:r w:rsidRPr="00DF3612">
              <w:rPr>
                <w:rFonts w:ascii="Aptos Narrow" w:eastAsia="Times New Roman" w:hAnsi="Aptos Narrow" w:cs="Times New Roman"/>
                <w:b/>
                <w:bCs/>
                <w:color w:val="FFFFFF"/>
                <w:kern w:val="0"/>
                <w:sz w:val="22"/>
                <w:szCs w:val="22"/>
                <w:lang w:eastAsia="en-GB"/>
                <w14:ligatures w14:val="none"/>
              </w:rPr>
              <w:t>Staffing Type</w:t>
            </w:r>
          </w:p>
        </w:tc>
        <w:tc>
          <w:tcPr>
            <w:tcW w:w="1820" w:type="dxa"/>
            <w:tcBorders>
              <w:top w:val="single" w:sz="4" w:space="0" w:color="auto"/>
              <w:left w:val="nil"/>
              <w:bottom w:val="single" w:sz="4" w:space="0" w:color="auto"/>
              <w:right w:val="single" w:sz="4" w:space="0" w:color="auto"/>
            </w:tcBorders>
            <w:shd w:val="clear" w:color="000000" w:fill="156082"/>
            <w:noWrap/>
            <w:vAlign w:val="bottom"/>
            <w:hideMark/>
          </w:tcPr>
          <w:p w14:paraId="2C1DE052" w14:textId="77777777" w:rsidR="00DF3612" w:rsidRPr="00DF3612" w:rsidRDefault="00DF3612" w:rsidP="00DF3612">
            <w:pPr>
              <w:spacing w:after="0"/>
              <w:ind w:left="0"/>
              <w:rPr>
                <w:rFonts w:ascii="Aptos Narrow" w:eastAsia="Times New Roman" w:hAnsi="Aptos Narrow" w:cs="Times New Roman"/>
                <w:b/>
                <w:bCs/>
                <w:color w:val="FFFFFF"/>
                <w:kern w:val="0"/>
                <w:sz w:val="22"/>
                <w:szCs w:val="22"/>
                <w:lang w:eastAsia="en-GB"/>
                <w14:ligatures w14:val="none"/>
              </w:rPr>
            </w:pPr>
            <w:r w:rsidRPr="00DF3612">
              <w:rPr>
                <w:rFonts w:ascii="Aptos Narrow" w:eastAsia="Times New Roman" w:hAnsi="Aptos Narrow" w:cs="Times New Roman"/>
                <w:b/>
                <w:bCs/>
                <w:color w:val="FFFFFF"/>
                <w:kern w:val="0"/>
                <w:sz w:val="22"/>
                <w:szCs w:val="22"/>
                <w:lang w:eastAsia="en-GB"/>
                <w14:ligatures w14:val="none"/>
              </w:rPr>
              <w:t>White (£)</w:t>
            </w:r>
          </w:p>
        </w:tc>
        <w:tc>
          <w:tcPr>
            <w:tcW w:w="2020" w:type="dxa"/>
            <w:tcBorders>
              <w:top w:val="single" w:sz="4" w:space="0" w:color="auto"/>
              <w:left w:val="nil"/>
              <w:bottom w:val="single" w:sz="4" w:space="0" w:color="auto"/>
              <w:right w:val="single" w:sz="4" w:space="0" w:color="auto"/>
            </w:tcBorders>
            <w:shd w:val="clear" w:color="000000" w:fill="156082"/>
            <w:noWrap/>
            <w:vAlign w:val="bottom"/>
            <w:hideMark/>
          </w:tcPr>
          <w:p w14:paraId="11336FDA" w14:textId="28D01D24" w:rsidR="00DF3612" w:rsidRPr="00DF3612" w:rsidRDefault="00DF3612" w:rsidP="00DF3612">
            <w:pPr>
              <w:spacing w:after="0"/>
              <w:ind w:left="0"/>
              <w:rPr>
                <w:rFonts w:ascii="Aptos Narrow" w:eastAsia="Times New Roman" w:hAnsi="Aptos Narrow" w:cs="Times New Roman"/>
                <w:b/>
                <w:bCs/>
                <w:color w:val="FFFFFF"/>
                <w:kern w:val="0"/>
                <w:sz w:val="22"/>
                <w:szCs w:val="22"/>
                <w:lang w:eastAsia="en-GB"/>
                <w14:ligatures w14:val="none"/>
              </w:rPr>
            </w:pPr>
            <w:r w:rsidRPr="00DF3612">
              <w:rPr>
                <w:rFonts w:ascii="Aptos Narrow" w:eastAsia="Times New Roman" w:hAnsi="Aptos Narrow" w:cs="Times New Roman"/>
                <w:b/>
                <w:bCs/>
                <w:color w:val="FFFFFF"/>
                <w:kern w:val="0"/>
                <w:sz w:val="22"/>
                <w:szCs w:val="22"/>
                <w:lang w:eastAsia="en-GB"/>
                <w14:ligatures w14:val="none"/>
              </w:rPr>
              <w:t>BME (£)</w:t>
            </w:r>
          </w:p>
        </w:tc>
        <w:tc>
          <w:tcPr>
            <w:tcW w:w="2020" w:type="dxa"/>
            <w:tcBorders>
              <w:top w:val="single" w:sz="4" w:space="0" w:color="auto"/>
              <w:left w:val="nil"/>
              <w:bottom w:val="single" w:sz="4" w:space="0" w:color="auto"/>
              <w:right w:val="single" w:sz="4" w:space="0" w:color="auto"/>
            </w:tcBorders>
            <w:shd w:val="clear" w:color="000000" w:fill="156082"/>
            <w:noWrap/>
            <w:vAlign w:val="bottom"/>
            <w:hideMark/>
          </w:tcPr>
          <w:p w14:paraId="7D56AB4C" w14:textId="77777777" w:rsidR="00DF3612" w:rsidRPr="00DF3612" w:rsidRDefault="00DF3612" w:rsidP="00DF3612">
            <w:pPr>
              <w:spacing w:after="0"/>
              <w:ind w:left="0"/>
              <w:rPr>
                <w:rFonts w:ascii="Aptos Narrow" w:eastAsia="Times New Roman" w:hAnsi="Aptos Narrow" w:cs="Times New Roman"/>
                <w:b/>
                <w:bCs/>
                <w:color w:val="FFFFFF"/>
                <w:kern w:val="0"/>
                <w:sz w:val="22"/>
                <w:szCs w:val="22"/>
                <w:lang w:eastAsia="en-GB"/>
                <w14:ligatures w14:val="none"/>
              </w:rPr>
            </w:pPr>
            <w:r w:rsidRPr="00DF3612">
              <w:rPr>
                <w:rFonts w:ascii="Aptos Narrow" w:eastAsia="Times New Roman" w:hAnsi="Aptos Narrow" w:cs="Times New Roman"/>
                <w:b/>
                <w:bCs/>
                <w:color w:val="FFFFFF"/>
                <w:kern w:val="0"/>
                <w:sz w:val="22"/>
                <w:szCs w:val="22"/>
                <w:lang w:eastAsia="en-GB"/>
                <w14:ligatures w14:val="none"/>
              </w:rPr>
              <w:t>Difference</w:t>
            </w:r>
          </w:p>
        </w:tc>
        <w:tc>
          <w:tcPr>
            <w:tcW w:w="608" w:type="dxa"/>
            <w:tcBorders>
              <w:top w:val="single" w:sz="4" w:space="0" w:color="auto"/>
              <w:left w:val="nil"/>
              <w:bottom w:val="single" w:sz="4" w:space="0" w:color="auto"/>
              <w:right w:val="single" w:sz="4" w:space="0" w:color="auto"/>
            </w:tcBorders>
            <w:shd w:val="clear" w:color="000000" w:fill="156082"/>
            <w:noWrap/>
            <w:vAlign w:val="bottom"/>
            <w:hideMark/>
          </w:tcPr>
          <w:p w14:paraId="00F69027" w14:textId="77777777" w:rsidR="00DF3612" w:rsidRPr="00DF3612" w:rsidRDefault="00DF3612" w:rsidP="00DF3612">
            <w:pPr>
              <w:spacing w:after="0"/>
              <w:ind w:left="0"/>
              <w:rPr>
                <w:rFonts w:ascii="Aptos Narrow" w:eastAsia="Times New Roman" w:hAnsi="Aptos Narrow" w:cs="Times New Roman"/>
                <w:b/>
                <w:bCs/>
                <w:color w:val="FFFFFF"/>
                <w:kern w:val="0"/>
                <w:sz w:val="22"/>
                <w:szCs w:val="22"/>
                <w:lang w:eastAsia="en-GB"/>
                <w14:ligatures w14:val="none"/>
              </w:rPr>
            </w:pPr>
            <w:r w:rsidRPr="00DF3612">
              <w:rPr>
                <w:rFonts w:ascii="Aptos Narrow" w:eastAsia="Times New Roman" w:hAnsi="Aptos Narrow" w:cs="Times New Roman"/>
                <w:b/>
                <w:bCs/>
                <w:color w:val="FFFFFF"/>
                <w:kern w:val="0"/>
                <w:sz w:val="22"/>
                <w:szCs w:val="22"/>
                <w:lang w:eastAsia="en-GB"/>
                <w14:ligatures w14:val="none"/>
              </w:rPr>
              <w:t>Pay Gap %</w:t>
            </w:r>
          </w:p>
        </w:tc>
      </w:tr>
      <w:tr w:rsidR="00DF3612" w:rsidRPr="00DF3612" w14:paraId="136B950F" w14:textId="77777777" w:rsidTr="00C723D7">
        <w:trPr>
          <w:trHeight w:val="290"/>
        </w:trPr>
        <w:tc>
          <w:tcPr>
            <w:tcW w:w="2954" w:type="dxa"/>
            <w:tcBorders>
              <w:top w:val="single" w:sz="4" w:space="0" w:color="auto"/>
              <w:left w:val="single" w:sz="4" w:space="0" w:color="auto"/>
              <w:bottom w:val="single" w:sz="4" w:space="0" w:color="auto"/>
              <w:right w:val="single" w:sz="4" w:space="0" w:color="auto"/>
            </w:tcBorders>
            <w:shd w:val="clear" w:color="000000" w:fill="156082"/>
            <w:noWrap/>
            <w:vAlign w:val="bottom"/>
          </w:tcPr>
          <w:p w14:paraId="3978E961" w14:textId="77777777" w:rsidR="00DF3612" w:rsidRPr="00DF3612" w:rsidRDefault="00DF3612" w:rsidP="00DF3612">
            <w:pPr>
              <w:spacing w:after="0"/>
              <w:ind w:left="0"/>
              <w:rPr>
                <w:rFonts w:ascii="Aptos Narrow" w:eastAsia="Times New Roman" w:hAnsi="Aptos Narrow" w:cs="Times New Roman"/>
                <w:b/>
                <w:bCs/>
                <w:color w:val="FFFFFF"/>
                <w:kern w:val="0"/>
                <w:sz w:val="22"/>
                <w:szCs w:val="22"/>
                <w:lang w:eastAsia="en-GB"/>
                <w14:ligatures w14:val="none"/>
              </w:rPr>
            </w:pPr>
          </w:p>
        </w:tc>
        <w:tc>
          <w:tcPr>
            <w:tcW w:w="1820" w:type="dxa"/>
            <w:tcBorders>
              <w:top w:val="single" w:sz="4" w:space="0" w:color="auto"/>
              <w:left w:val="nil"/>
              <w:bottom w:val="single" w:sz="4" w:space="0" w:color="auto"/>
              <w:right w:val="single" w:sz="4" w:space="0" w:color="auto"/>
            </w:tcBorders>
            <w:shd w:val="clear" w:color="000000" w:fill="156082"/>
            <w:noWrap/>
            <w:vAlign w:val="bottom"/>
          </w:tcPr>
          <w:p w14:paraId="6E9DFE56" w14:textId="77777777" w:rsidR="00DF3612" w:rsidRPr="00DF3612" w:rsidRDefault="00DF3612" w:rsidP="00DF3612">
            <w:pPr>
              <w:spacing w:after="0"/>
              <w:ind w:left="0"/>
              <w:rPr>
                <w:rFonts w:ascii="Aptos Narrow" w:eastAsia="Times New Roman" w:hAnsi="Aptos Narrow" w:cs="Times New Roman"/>
                <w:b/>
                <w:bCs/>
                <w:color w:val="FFFFFF"/>
                <w:kern w:val="0"/>
                <w:sz w:val="22"/>
                <w:szCs w:val="22"/>
                <w:lang w:eastAsia="en-GB"/>
                <w14:ligatures w14:val="none"/>
              </w:rPr>
            </w:pPr>
          </w:p>
        </w:tc>
        <w:tc>
          <w:tcPr>
            <w:tcW w:w="2020" w:type="dxa"/>
            <w:tcBorders>
              <w:top w:val="single" w:sz="4" w:space="0" w:color="auto"/>
              <w:left w:val="nil"/>
              <w:bottom w:val="single" w:sz="4" w:space="0" w:color="auto"/>
              <w:right w:val="single" w:sz="4" w:space="0" w:color="auto"/>
            </w:tcBorders>
            <w:shd w:val="clear" w:color="000000" w:fill="156082"/>
            <w:noWrap/>
            <w:vAlign w:val="bottom"/>
          </w:tcPr>
          <w:p w14:paraId="3E3309C0" w14:textId="77777777" w:rsidR="00DF3612" w:rsidRPr="00DF3612" w:rsidRDefault="00DF3612" w:rsidP="00DF3612">
            <w:pPr>
              <w:spacing w:after="0"/>
              <w:ind w:left="0"/>
              <w:rPr>
                <w:rFonts w:ascii="Aptos Narrow" w:eastAsia="Times New Roman" w:hAnsi="Aptos Narrow" w:cs="Times New Roman"/>
                <w:b/>
                <w:bCs/>
                <w:color w:val="FFFFFF"/>
                <w:kern w:val="0"/>
                <w:sz w:val="22"/>
                <w:szCs w:val="22"/>
                <w:lang w:eastAsia="en-GB"/>
                <w14:ligatures w14:val="none"/>
              </w:rPr>
            </w:pPr>
          </w:p>
        </w:tc>
        <w:tc>
          <w:tcPr>
            <w:tcW w:w="2020" w:type="dxa"/>
            <w:tcBorders>
              <w:top w:val="single" w:sz="4" w:space="0" w:color="auto"/>
              <w:left w:val="nil"/>
              <w:bottom w:val="single" w:sz="4" w:space="0" w:color="auto"/>
              <w:right w:val="single" w:sz="4" w:space="0" w:color="auto"/>
            </w:tcBorders>
            <w:shd w:val="clear" w:color="000000" w:fill="156082"/>
            <w:noWrap/>
            <w:vAlign w:val="bottom"/>
          </w:tcPr>
          <w:p w14:paraId="4709E2CA" w14:textId="77777777" w:rsidR="00DF3612" w:rsidRPr="00DF3612" w:rsidRDefault="00DF3612" w:rsidP="00DF3612">
            <w:pPr>
              <w:spacing w:after="0"/>
              <w:ind w:left="0"/>
              <w:rPr>
                <w:rFonts w:ascii="Aptos Narrow" w:eastAsia="Times New Roman" w:hAnsi="Aptos Narrow" w:cs="Times New Roman"/>
                <w:b/>
                <w:bCs/>
                <w:color w:val="FFFFFF"/>
                <w:kern w:val="0"/>
                <w:sz w:val="22"/>
                <w:szCs w:val="22"/>
                <w:lang w:eastAsia="en-GB"/>
                <w14:ligatures w14:val="none"/>
              </w:rPr>
            </w:pPr>
          </w:p>
        </w:tc>
        <w:tc>
          <w:tcPr>
            <w:tcW w:w="608" w:type="dxa"/>
            <w:tcBorders>
              <w:top w:val="single" w:sz="4" w:space="0" w:color="auto"/>
              <w:left w:val="nil"/>
              <w:bottom w:val="single" w:sz="4" w:space="0" w:color="auto"/>
              <w:right w:val="single" w:sz="4" w:space="0" w:color="auto"/>
            </w:tcBorders>
            <w:shd w:val="clear" w:color="000000" w:fill="156082"/>
            <w:noWrap/>
            <w:vAlign w:val="bottom"/>
          </w:tcPr>
          <w:p w14:paraId="614E49A1" w14:textId="77777777" w:rsidR="00DF3612" w:rsidRPr="00DF3612" w:rsidRDefault="00DF3612" w:rsidP="00DF3612">
            <w:pPr>
              <w:spacing w:after="0"/>
              <w:ind w:left="0"/>
              <w:rPr>
                <w:rFonts w:ascii="Aptos Narrow" w:eastAsia="Times New Roman" w:hAnsi="Aptos Narrow" w:cs="Times New Roman"/>
                <w:b/>
                <w:bCs/>
                <w:color w:val="FFFFFF"/>
                <w:kern w:val="0"/>
                <w:sz w:val="22"/>
                <w:szCs w:val="22"/>
                <w:lang w:eastAsia="en-GB"/>
                <w14:ligatures w14:val="none"/>
              </w:rPr>
            </w:pPr>
          </w:p>
        </w:tc>
      </w:tr>
      <w:tr w:rsidR="00DF3612" w:rsidRPr="00DF3612" w14:paraId="22EB7033" w14:textId="77777777" w:rsidTr="00C723D7">
        <w:trPr>
          <w:trHeight w:val="290"/>
        </w:trPr>
        <w:tc>
          <w:tcPr>
            <w:tcW w:w="2954" w:type="dxa"/>
            <w:tcBorders>
              <w:top w:val="nil"/>
              <w:left w:val="single" w:sz="4" w:space="0" w:color="auto"/>
              <w:bottom w:val="single" w:sz="4" w:space="0" w:color="auto"/>
              <w:right w:val="single" w:sz="4" w:space="0" w:color="auto"/>
            </w:tcBorders>
            <w:noWrap/>
            <w:vAlign w:val="bottom"/>
            <w:hideMark/>
          </w:tcPr>
          <w:p w14:paraId="6C1D5298" w14:textId="77777777" w:rsidR="00DF3612" w:rsidRPr="00DF3612" w:rsidRDefault="00DF3612" w:rsidP="00DF3612">
            <w:pPr>
              <w:spacing w:after="0"/>
              <w:ind w:left="0"/>
              <w:rPr>
                <w:rFonts w:ascii="Aptos Narrow" w:eastAsia="Times New Roman" w:hAnsi="Aptos Narrow" w:cs="Times New Roman"/>
                <w:color w:val="000000"/>
                <w:kern w:val="0"/>
                <w:sz w:val="22"/>
                <w:szCs w:val="22"/>
                <w:lang w:eastAsia="en-GB"/>
                <w14:ligatures w14:val="none"/>
              </w:rPr>
            </w:pPr>
            <w:r w:rsidRPr="00DF3612">
              <w:rPr>
                <w:rFonts w:ascii="Aptos Narrow" w:eastAsia="Times New Roman" w:hAnsi="Aptos Narrow" w:cs="Times New Roman"/>
                <w:color w:val="000000"/>
                <w:kern w:val="0"/>
                <w:sz w:val="22"/>
                <w:szCs w:val="22"/>
                <w:lang w:eastAsia="en-GB"/>
                <w14:ligatures w14:val="none"/>
              </w:rPr>
              <w:t>All Staff</w:t>
            </w:r>
          </w:p>
        </w:tc>
        <w:tc>
          <w:tcPr>
            <w:tcW w:w="1820" w:type="dxa"/>
            <w:tcBorders>
              <w:top w:val="nil"/>
              <w:left w:val="nil"/>
              <w:bottom w:val="single" w:sz="4" w:space="0" w:color="auto"/>
              <w:right w:val="single" w:sz="4" w:space="0" w:color="auto"/>
            </w:tcBorders>
            <w:noWrap/>
            <w:vAlign w:val="bottom"/>
            <w:hideMark/>
          </w:tcPr>
          <w:p w14:paraId="3BF68326" w14:textId="77777777" w:rsidR="00DF3612" w:rsidRPr="00DF3612" w:rsidRDefault="00DF3612" w:rsidP="00DF3612">
            <w:pPr>
              <w:spacing w:after="0"/>
              <w:ind w:left="0"/>
              <w:jc w:val="right"/>
              <w:rPr>
                <w:rFonts w:ascii="Aptos Narrow" w:eastAsia="Times New Roman" w:hAnsi="Aptos Narrow" w:cs="Times New Roman"/>
                <w:color w:val="000000"/>
                <w:kern w:val="0"/>
                <w:sz w:val="22"/>
                <w:szCs w:val="22"/>
                <w:lang w:eastAsia="en-GB"/>
                <w14:ligatures w14:val="none"/>
              </w:rPr>
            </w:pPr>
            <w:r w:rsidRPr="00DF3612">
              <w:rPr>
                <w:rFonts w:ascii="Aptos Narrow" w:eastAsia="Times New Roman" w:hAnsi="Aptos Narrow" w:cs="Times New Roman"/>
                <w:color w:val="000000"/>
                <w:kern w:val="0"/>
                <w:sz w:val="22"/>
                <w:szCs w:val="22"/>
                <w:lang w:eastAsia="en-GB"/>
                <w14:ligatures w14:val="none"/>
              </w:rPr>
              <w:t>21.74</w:t>
            </w:r>
          </w:p>
        </w:tc>
        <w:tc>
          <w:tcPr>
            <w:tcW w:w="2020" w:type="dxa"/>
            <w:tcBorders>
              <w:top w:val="nil"/>
              <w:left w:val="nil"/>
              <w:bottom w:val="single" w:sz="4" w:space="0" w:color="auto"/>
              <w:right w:val="single" w:sz="4" w:space="0" w:color="auto"/>
            </w:tcBorders>
            <w:noWrap/>
            <w:vAlign w:val="bottom"/>
            <w:hideMark/>
          </w:tcPr>
          <w:p w14:paraId="7B1216A7" w14:textId="77777777" w:rsidR="00DF3612" w:rsidRPr="00DF3612" w:rsidRDefault="00DF3612" w:rsidP="00DF3612">
            <w:pPr>
              <w:spacing w:after="0"/>
              <w:ind w:left="0"/>
              <w:jc w:val="right"/>
              <w:rPr>
                <w:rFonts w:ascii="Aptos Narrow" w:eastAsia="Times New Roman" w:hAnsi="Aptos Narrow" w:cs="Times New Roman"/>
                <w:color w:val="000000"/>
                <w:kern w:val="0"/>
                <w:sz w:val="22"/>
                <w:szCs w:val="22"/>
                <w:lang w:eastAsia="en-GB"/>
                <w14:ligatures w14:val="none"/>
              </w:rPr>
            </w:pPr>
            <w:r w:rsidRPr="00DF3612">
              <w:rPr>
                <w:rFonts w:ascii="Aptos Narrow" w:eastAsia="Times New Roman" w:hAnsi="Aptos Narrow" w:cs="Times New Roman"/>
                <w:color w:val="000000"/>
                <w:kern w:val="0"/>
                <w:sz w:val="22"/>
                <w:szCs w:val="22"/>
                <w:lang w:eastAsia="en-GB"/>
                <w14:ligatures w14:val="none"/>
              </w:rPr>
              <w:t>22.61</w:t>
            </w:r>
          </w:p>
        </w:tc>
        <w:tc>
          <w:tcPr>
            <w:tcW w:w="2020" w:type="dxa"/>
            <w:tcBorders>
              <w:top w:val="nil"/>
              <w:left w:val="nil"/>
              <w:bottom w:val="single" w:sz="4" w:space="0" w:color="auto"/>
              <w:right w:val="single" w:sz="4" w:space="0" w:color="auto"/>
            </w:tcBorders>
            <w:noWrap/>
            <w:vAlign w:val="bottom"/>
            <w:hideMark/>
          </w:tcPr>
          <w:p w14:paraId="7FFBFA4D" w14:textId="77777777" w:rsidR="00DF3612" w:rsidRPr="00DF3612" w:rsidRDefault="00DF3612" w:rsidP="00DF3612">
            <w:pPr>
              <w:spacing w:after="0"/>
              <w:ind w:left="0"/>
              <w:jc w:val="right"/>
              <w:rPr>
                <w:rFonts w:ascii="Aptos Narrow" w:eastAsia="Times New Roman" w:hAnsi="Aptos Narrow" w:cs="Times New Roman"/>
                <w:color w:val="000000"/>
                <w:kern w:val="0"/>
                <w:sz w:val="22"/>
                <w:szCs w:val="22"/>
                <w:lang w:eastAsia="en-GB"/>
                <w14:ligatures w14:val="none"/>
              </w:rPr>
            </w:pPr>
            <w:r w:rsidRPr="00DF3612">
              <w:rPr>
                <w:rFonts w:ascii="Aptos Narrow" w:eastAsia="Times New Roman" w:hAnsi="Aptos Narrow" w:cs="Times New Roman"/>
                <w:color w:val="000000"/>
                <w:kern w:val="0"/>
                <w:sz w:val="22"/>
                <w:szCs w:val="22"/>
                <w:lang w:eastAsia="en-GB"/>
                <w14:ligatures w14:val="none"/>
              </w:rPr>
              <w:t>-0.87</w:t>
            </w:r>
          </w:p>
        </w:tc>
        <w:tc>
          <w:tcPr>
            <w:tcW w:w="608" w:type="dxa"/>
            <w:tcBorders>
              <w:top w:val="nil"/>
              <w:left w:val="nil"/>
              <w:bottom w:val="single" w:sz="4" w:space="0" w:color="auto"/>
              <w:right w:val="single" w:sz="4" w:space="0" w:color="auto"/>
            </w:tcBorders>
            <w:noWrap/>
            <w:vAlign w:val="bottom"/>
            <w:hideMark/>
          </w:tcPr>
          <w:p w14:paraId="00BE6313" w14:textId="77777777" w:rsidR="00DF3612" w:rsidRPr="00DF3612" w:rsidRDefault="00DF3612" w:rsidP="00DF3612">
            <w:pPr>
              <w:spacing w:after="0"/>
              <w:ind w:left="0"/>
              <w:jc w:val="right"/>
              <w:rPr>
                <w:rFonts w:ascii="Aptos Narrow" w:eastAsia="Times New Roman" w:hAnsi="Aptos Narrow" w:cs="Times New Roman"/>
                <w:color w:val="000000"/>
                <w:kern w:val="0"/>
                <w:sz w:val="22"/>
                <w:szCs w:val="22"/>
                <w:lang w:eastAsia="en-GB"/>
                <w14:ligatures w14:val="none"/>
              </w:rPr>
            </w:pPr>
            <w:r w:rsidRPr="00DF3612">
              <w:rPr>
                <w:rFonts w:ascii="Aptos Narrow" w:eastAsia="Times New Roman" w:hAnsi="Aptos Narrow" w:cs="Times New Roman"/>
                <w:color w:val="000000"/>
                <w:kern w:val="0"/>
                <w:sz w:val="22"/>
                <w:szCs w:val="22"/>
                <w:lang w:eastAsia="en-GB"/>
                <w14:ligatures w14:val="none"/>
              </w:rPr>
              <w:t>-4.00</w:t>
            </w:r>
          </w:p>
        </w:tc>
      </w:tr>
      <w:tr w:rsidR="00DF3612" w:rsidRPr="00DF3612" w14:paraId="234DD06C" w14:textId="77777777" w:rsidTr="00C723D7">
        <w:trPr>
          <w:trHeight w:val="290"/>
        </w:trPr>
        <w:tc>
          <w:tcPr>
            <w:tcW w:w="2954" w:type="dxa"/>
            <w:tcBorders>
              <w:top w:val="nil"/>
              <w:left w:val="single" w:sz="4" w:space="0" w:color="auto"/>
              <w:bottom w:val="single" w:sz="4" w:space="0" w:color="auto"/>
              <w:right w:val="single" w:sz="4" w:space="0" w:color="auto"/>
            </w:tcBorders>
            <w:noWrap/>
            <w:vAlign w:val="bottom"/>
            <w:hideMark/>
          </w:tcPr>
          <w:p w14:paraId="3D3C1305" w14:textId="77777777" w:rsidR="00DF3612" w:rsidRPr="00DF3612" w:rsidRDefault="00DF3612" w:rsidP="00DF3612">
            <w:pPr>
              <w:spacing w:after="0"/>
              <w:ind w:left="0"/>
              <w:rPr>
                <w:rFonts w:ascii="Aptos Narrow" w:eastAsia="Times New Roman" w:hAnsi="Aptos Narrow" w:cs="Times New Roman"/>
                <w:color w:val="000000"/>
                <w:kern w:val="0"/>
                <w:sz w:val="22"/>
                <w:szCs w:val="22"/>
                <w:lang w:eastAsia="en-GB"/>
                <w14:ligatures w14:val="none"/>
              </w:rPr>
            </w:pPr>
            <w:r w:rsidRPr="00DF3612">
              <w:rPr>
                <w:rFonts w:ascii="Aptos Narrow" w:eastAsia="Times New Roman" w:hAnsi="Aptos Narrow" w:cs="Times New Roman"/>
                <w:color w:val="000000"/>
                <w:kern w:val="0"/>
                <w:sz w:val="22"/>
                <w:szCs w:val="22"/>
                <w:lang w:eastAsia="en-GB"/>
                <w14:ligatures w14:val="none"/>
              </w:rPr>
              <w:t>Agenda For Change &amp; Other</w:t>
            </w:r>
          </w:p>
        </w:tc>
        <w:tc>
          <w:tcPr>
            <w:tcW w:w="1820" w:type="dxa"/>
            <w:tcBorders>
              <w:top w:val="nil"/>
              <w:left w:val="nil"/>
              <w:bottom w:val="single" w:sz="4" w:space="0" w:color="auto"/>
              <w:right w:val="single" w:sz="4" w:space="0" w:color="auto"/>
            </w:tcBorders>
            <w:noWrap/>
            <w:vAlign w:val="bottom"/>
            <w:hideMark/>
          </w:tcPr>
          <w:p w14:paraId="44B27887" w14:textId="77777777" w:rsidR="00DF3612" w:rsidRPr="00DF3612" w:rsidRDefault="00DF3612" w:rsidP="00DF3612">
            <w:pPr>
              <w:spacing w:after="0"/>
              <w:ind w:left="0"/>
              <w:jc w:val="right"/>
              <w:rPr>
                <w:rFonts w:ascii="Aptos Narrow" w:eastAsia="Times New Roman" w:hAnsi="Aptos Narrow" w:cs="Times New Roman"/>
                <w:color w:val="000000"/>
                <w:kern w:val="0"/>
                <w:sz w:val="22"/>
                <w:szCs w:val="22"/>
                <w:lang w:eastAsia="en-GB"/>
                <w14:ligatures w14:val="none"/>
              </w:rPr>
            </w:pPr>
            <w:r w:rsidRPr="00DF3612">
              <w:rPr>
                <w:rFonts w:ascii="Aptos Narrow" w:eastAsia="Times New Roman" w:hAnsi="Aptos Narrow" w:cs="Times New Roman"/>
                <w:color w:val="000000"/>
                <w:kern w:val="0"/>
                <w:sz w:val="22"/>
                <w:szCs w:val="22"/>
                <w:lang w:eastAsia="en-GB"/>
                <w14:ligatures w14:val="none"/>
              </w:rPr>
              <w:t>20.16</w:t>
            </w:r>
          </w:p>
        </w:tc>
        <w:tc>
          <w:tcPr>
            <w:tcW w:w="2020" w:type="dxa"/>
            <w:tcBorders>
              <w:top w:val="nil"/>
              <w:left w:val="nil"/>
              <w:bottom w:val="single" w:sz="4" w:space="0" w:color="auto"/>
              <w:right w:val="single" w:sz="4" w:space="0" w:color="auto"/>
            </w:tcBorders>
            <w:noWrap/>
            <w:vAlign w:val="bottom"/>
            <w:hideMark/>
          </w:tcPr>
          <w:p w14:paraId="0DC69CC7" w14:textId="77777777" w:rsidR="00DF3612" w:rsidRPr="00DF3612" w:rsidRDefault="00DF3612" w:rsidP="00DF3612">
            <w:pPr>
              <w:spacing w:after="0"/>
              <w:ind w:left="0"/>
              <w:jc w:val="right"/>
              <w:rPr>
                <w:rFonts w:ascii="Aptos Narrow" w:eastAsia="Times New Roman" w:hAnsi="Aptos Narrow" w:cs="Times New Roman"/>
                <w:color w:val="000000"/>
                <w:kern w:val="0"/>
                <w:sz w:val="22"/>
                <w:szCs w:val="22"/>
                <w:lang w:eastAsia="en-GB"/>
                <w14:ligatures w14:val="none"/>
              </w:rPr>
            </w:pPr>
            <w:r w:rsidRPr="00DF3612">
              <w:rPr>
                <w:rFonts w:ascii="Aptos Narrow" w:eastAsia="Times New Roman" w:hAnsi="Aptos Narrow" w:cs="Times New Roman"/>
                <w:color w:val="000000"/>
                <w:kern w:val="0"/>
                <w:sz w:val="22"/>
                <w:szCs w:val="22"/>
                <w:lang w:eastAsia="en-GB"/>
                <w14:ligatures w14:val="none"/>
              </w:rPr>
              <w:t>18.41</w:t>
            </w:r>
          </w:p>
        </w:tc>
        <w:tc>
          <w:tcPr>
            <w:tcW w:w="2020" w:type="dxa"/>
            <w:tcBorders>
              <w:top w:val="nil"/>
              <w:left w:val="nil"/>
              <w:bottom w:val="single" w:sz="4" w:space="0" w:color="auto"/>
              <w:right w:val="single" w:sz="4" w:space="0" w:color="auto"/>
            </w:tcBorders>
            <w:noWrap/>
            <w:vAlign w:val="bottom"/>
            <w:hideMark/>
          </w:tcPr>
          <w:p w14:paraId="17792795" w14:textId="77777777" w:rsidR="00DF3612" w:rsidRPr="00DF3612" w:rsidRDefault="00DF3612" w:rsidP="00DF3612">
            <w:pPr>
              <w:spacing w:after="0"/>
              <w:ind w:left="0"/>
              <w:jc w:val="right"/>
              <w:rPr>
                <w:rFonts w:ascii="Aptos Narrow" w:eastAsia="Times New Roman" w:hAnsi="Aptos Narrow" w:cs="Times New Roman"/>
                <w:color w:val="000000"/>
                <w:kern w:val="0"/>
                <w:sz w:val="22"/>
                <w:szCs w:val="22"/>
                <w:lang w:eastAsia="en-GB"/>
                <w14:ligatures w14:val="none"/>
              </w:rPr>
            </w:pPr>
            <w:r w:rsidRPr="00DF3612">
              <w:rPr>
                <w:rFonts w:ascii="Aptos Narrow" w:eastAsia="Times New Roman" w:hAnsi="Aptos Narrow" w:cs="Times New Roman"/>
                <w:color w:val="000000"/>
                <w:kern w:val="0"/>
                <w:sz w:val="22"/>
                <w:szCs w:val="22"/>
                <w:lang w:eastAsia="en-GB"/>
                <w14:ligatures w14:val="none"/>
              </w:rPr>
              <w:t>1.75</w:t>
            </w:r>
          </w:p>
        </w:tc>
        <w:tc>
          <w:tcPr>
            <w:tcW w:w="608" w:type="dxa"/>
            <w:tcBorders>
              <w:top w:val="nil"/>
              <w:left w:val="nil"/>
              <w:bottom w:val="single" w:sz="4" w:space="0" w:color="auto"/>
              <w:right w:val="single" w:sz="4" w:space="0" w:color="auto"/>
            </w:tcBorders>
            <w:noWrap/>
            <w:vAlign w:val="bottom"/>
            <w:hideMark/>
          </w:tcPr>
          <w:p w14:paraId="1DF035D4" w14:textId="77777777" w:rsidR="00DF3612" w:rsidRPr="00DF3612" w:rsidRDefault="00DF3612" w:rsidP="00DF3612">
            <w:pPr>
              <w:spacing w:after="0"/>
              <w:ind w:left="0"/>
              <w:jc w:val="right"/>
              <w:rPr>
                <w:rFonts w:ascii="Aptos Narrow" w:eastAsia="Times New Roman" w:hAnsi="Aptos Narrow" w:cs="Times New Roman"/>
                <w:color w:val="000000"/>
                <w:kern w:val="0"/>
                <w:sz w:val="22"/>
                <w:szCs w:val="22"/>
                <w:lang w:eastAsia="en-GB"/>
                <w14:ligatures w14:val="none"/>
              </w:rPr>
            </w:pPr>
            <w:r w:rsidRPr="00DF3612">
              <w:rPr>
                <w:rFonts w:ascii="Aptos Narrow" w:eastAsia="Times New Roman" w:hAnsi="Aptos Narrow" w:cs="Times New Roman"/>
                <w:color w:val="000000"/>
                <w:kern w:val="0"/>
                <w:sz w:val="22"/>
                <w:szCs w:val="22"/>
                <w:lang w:eastAsia="en-GB"/>
                <w14:ligatures w14:val="none"/>
              </w:rPr>
              <w:t>8.68</w:t>
            </w:r>
          </w:p>
        </w:tc>
      </w:tr>
      <w:tr w:rsidR="00DF3612" w:rsidRPr="00DF3612" w14:paraId="2DB644C2" w14:textId="77777777" w:rsidTr="00C723D7">
        <w:trPr>
          <w:trHeight w:val="290"/>
        </w:trPr>
        <w:tc>
          <w:tcPr>
            <w:tcW w:w="2954" w:type="dxa"/>
            <w:tcBorders>
              <w:top w:val="nil"/>
              <w:left w:val="single" w:sz="4" w:space="0" w:color="auto"/>
              <w:bottom w:val="single" w:sz="4" w:space="0" w:color="auto"/>
              <w:right w:val="single" w:sz="4" w:space="0" w:color="auto"/>
            </w:tcBorders>
            <w:noWrap/>
            <w:vAlign w:val="bottom"/>
            <w:hideMark/>
          </w:tcPr>
          <w:p w14:paraId="7B4180DE" w14:textId="77777777" w:rsidR="00DF3612" w:rsidRPr="00DF3612" w:rsidRDefault="00DF3612" w:rsidP="00DF3612">
            <w:pPr>
              <w:spacing w:after="0"/>
              <w:ind w:left="0"/>
              <w:rPr>
                <w:rFonts w:ascii="Aptos Narrow" w:eastAsia="Times New Roman" w:hAnsi="Aptos Narrow" w:cs="Times New Roman"/>
                <w:color w:val="000000"/>
                <w:kern w:val="0"/>
                <w:sz w:val="22"/>
                <w:szCs w:val="22"/>
                <w:lang w:eastAsia="en-GB"/>
                <w14:ligatures w14:val="none"/>
              </w:rPr>
            </w:pPr>
            <w:r w:rsidRPr="00DF3612">
              <w:rPr>
                <w:rFonts w:ascii="Aptos Narrow" w:eastAsia="Times New Roman" w:hAnsi="Aptos Narrow" w:cs="Times New Roman"/>
                <w:color w:val="000000"/>
                <w:kern w:val="0"/>
                <w:sz w:val="22"/>
                <w:szCs w:val="22"/>
                <w:lang w:eastAsia="en-GB"/>
                <w14:ligatures w14:val="none"/>
              </w:rPr>
              <w:t>Medical &amp; Dental</w:t>
            </w:r>
          </w:p>
        </w:tc>
        <w:tc>
          <w:tcPr>
            <w:tcW w:w="1820" w:type="dxa"/>
            <w:tcBorders>
              <w:top w:val="nil"/>
              <w:left w:val="nil"/>
              <w:bottom w:val="single" w:sz="4" w:space="0" w:color="auto"/>
              <w:right w:val="single" w:sz="4" w:space="0" w:color="auto"/>
            </w:tcBorders>
            <w:noWrap/>
            <w:vAlign w:val="bottom"/>
            <w:hideMark/>
          </w:tcPr>
          <w:p w14:paraId="1AF9C959" w14:textId="77777777" w:rsidR="00DF3612" w:rsidRPr="00DF3612" w:rsidRDefault="00DF3612" w:rsidP="00DF3612">
            <w:pPr>
              <w:spacing w:after="0"/>
              <w:ind w:left="0"/>
              <w:jc w:val="right"/>
              <w:rPr>
                <w:rFonts w:ascii="Aptos Narrow" w:eastAsia="Times New Roman" w:hAnsi="Aptos Narrow" w:cs="Times New Roman"/>
                <w:color w:val="000000"/>
                <w:kern w:val="0"/>
                <w:sz w:val="22"/>
                <w:szCs w:val="22"/>
                <w:lang w:eastAsia="en-GB"/>
                <w14:ligatures w14:val="none"/>
              </w:rPr>
            </w:pPr>
            <w:r w:rsidRPr="00DF3612">
              <w:rPr>
                <w:rFonts w:ascii="Aptos Narrow" w:eastAsia="Times New Roman" w:hAnsi="Aptos Narrow" w:cs="Times New Roman"/>
                <w:color w:val="000000"/>
                <w:kern w:val="0"/>
                <w:sz w:val="22"/>
                <w:szCs w:val="22"/>
                <w:lang w:eastAsia="en-GB"/>
                <w14:ligatures w14:val="none"/>
              </w:rPr>
              <w:t>49.08</w:t>
            </w:r>
          </w:p>
        </w:tc>
        <w:tc>
          <w:tcPr>
            <w:tcW w:w="2020" w:type="dxa"/>
            <w:tcBorders>
              <w:top w:val="nil"/>
              <w:left w:val="nil"/>
              <w:bottom w:val="single" w:sz="4" w:space="0" w:color="auto"/>
              <w:right w:val="single" w:sz="4" w:space="0" w:color="auto"/>
            </w:tcBorders>
            <w:noWrap/>
            <w:vAlign w:val="bottom"/>
            <w:hideMark/>
          </w:tcPr>
          <w:p w14:paraId="7BAE292E" w14:textId="77777777" w:rsidR="00DF3612" w:rsidRPr="00DF3612" w:rsidRDefault="00DF3612" w:rsidP="00DF3612">
            <w:pPr>
              <w:spacing w:after="0"/>
              <w:ind w:left="0"/>
              <w:jc w:val="right"/>
              <w:rPr>
                <w:rFonts w:ascii="Aptos Narrow" w:eastAsia="Times New Roman" w:hAnsi="Aptos Narrow" w:cs="Times New Roman"/>
                <w:color w:val="000000"/>
                <w:kern w:val="0"/>
                <w:sz w:val="22"/>
                <w:szCs w:val="22"/>
                <w:lang w:eastAsia="en-GB"/>
                <w14:ligatures w14:val="none"/>
              </w:rPr>
            </w:pPr>
            <w:r w:rsidRPr="00DF3612">
              <w:rPr>
                <w:rFonts w:ascii="Aptos Narrow" w:eastAsia="Times New Roman" w:hAnsi="Aptos Narrow" w:cs="Times New Roman"/>
                <w:color w:val="000000"/>
                <w:kern w:val="0"/>
                <w:sz w:val="22"/>
                <w:szCs w:val="22"/>
                <w:lang w:eastAsia="en-GB"/>
                <w14:ligatures w14:val="none"/>
              </w:rPr>
              <w:t>45.15</w:t>
            </w:r>
          </w:p>
        </w:tc>
        <w:tc>
          <w:tcPr>
            <w:tcW w:w="2020" w:type="dxa"/>
            <w:tcBorders>
              <w:top w:val="nil"/>
              <w:left w:val="nil"/>
              <w:bottom w:val="single" w:sz="4" w:space="0" w:color="auto"/>
              <w:right w:val="single" w:sz="4" w:space="0" w:color="auto"/>
            </w:tcBorders>
            <w:noWrap/>
            <w:vAlign w:val="bottom"/>
            <w:hideMark/>
          </w:tcPr>
          <w:p w14:paraId="636EBF59" w14:textId="77777777" w:rsidR="00DF3612" w:rsidRPr="00DF3612" w:rsidRDefault="00DF3612" w:rsidP="00DF3612">
            <w:pPr>
              <w:spacing w:after="0"/>
              <w:ind w:left="0"/>
              <w:jc w:val="right"/>
              <w:rPr>
                <w:rFonts w:ascii="Aptos Narrow" w:eastAsia="Times New Roman" w:hAnsi="Aptos Narrow" w:cs="Times New Roman"/>
                <w:color w:val="000000"/>
                <w:kern w:val="0"/>
                <w:sz w:val="22"/>
                <w:szCs w:val="22"/>
                <w:lang w:eastAsia="en-GB"/>
                <w14:ligatures w14:val="none"/>
              </w:rPr>
            </w:pPr>
            <w:r w:rsidRPr="00DF3612">
              <w:rPr>
                <w:rFonts w:ascii="Aptos Narrow" w:eastAsia="Times New Roman" w:hAnsi="Aptos Narrow" w:cs="Times New Roman"/>
                <w:color w:val="000000"/>
                <w:kern w:val="0"/>
                <w:sz w:val="22"/>
                <w:szCs w:val="22"/>
                <w:lang w:eastAsia="en-GB"/>
                <w14:ligatures w14:val="none"/>
              </w:rPr>
              <w:t>3.93</w:t>
            </w:r>
          </w:p>
        </w:tc>
        <w:tc>
          <w:tcPr>
            <w:tcW w:w="608" w:type="dxa"/>
            <w:tcBorders>
              <w:top w:val="nil"/>
              <w:left w:val="nil"/>
              <w:bottom w:val="single" w:sz="4" w:space="0" w:color="auto"/>
              <w:right w:val="single" w:sz="4" w:space="0" w:color="auto"/>
            </w:tcBorders>
            <w:noWrap/>
            <w:vAlign w:val="bottom"/>
            <w:hideMark/>
          </w:tcPr>
          <w:p w14:paraId="2AAF9A11" w14:textId="77777777" w:rsidR="00DF3612" w:rsidRPr="00DF3612" w:rsidRDefault="00DF3612" w:rsidP="00DF3612">
            <w:pPr>
              <w:spacing w:after="0"/>
              <w:ind w:left="0"/>
              <w:jc w:val="right"/>
              <w:rPr>
                <w:rFonts w:ascii="Aptos Narrow" w:eastAsia="Times New Roman" w:hAnsi="Aptos Narrow" w:cs="Times New Roman"/>
                <w:color w:val="000000"/>
                <w:kern w:val="0"/>
                <w:sz w:val="22"/>
                <w:szCs w:val="22"/>
                <w:lang w:eastAsia="en-GB"/>
                <w14:ligatures w14:val="none"/>
              </w:rPr>
            </w:pPr>
            <w:r w:rsidRPr="00DF3612">
              <w:rPr>
                <w:rFonts w:ascii="Aptos Narrow" w:eastAsia="Times New Roman" w:hAnsi="Aptos Narrow" w:cs="Times New Roman"/>
                <w:color w:val="000000"/>
                <w:kern w:val="0"/>
                <w:sz w:val="22"/>
                <w:szCs w:val="22"/>
                <w:lang w:eastAsia="en-GB"/>
                <w14:ligatures w14:val="none"/>
              </w:rPr>
              <w:t>8.01</w:t>
            </w:r>
          </w:p>
        </w:tc>
      </w:tr>
    </w:tbl>
    <w:p w14:paraId="3613DE46" w14:textId="77777777" w:rsidR="00650459" w:rsidRDefault="00650459" w:rsidP="00FB4EC5">
      <w:pPr>
        <w:spacing w:after="0"/>
        <w:ind w:left="0"/>
        <w:jc w:val="both"/>
        <w:rPr>
          <w:rFonts w:ascii="Calibri" w:hAnsi="Calibri" w:cs="Calibri"/>
        </w:rPr>
      </w:pPr>
    </w:p>
    <w:p w14:paraId="0CD07FF2" w14:textId="77777777" w:rsidR="006C37BE" w:rsidRDefault="006C37BE" w:rsidP="00C81321">
      <w:pPr>
        <w:spacing w:after="0"/>
        <w:ind w:left="-113"/>
        <w:jc w:val="both"/>
        <w:rPr>
          <w:rFonts w:ascii="Calibri" w:hAnsi="Calibri" w:cs="Calibri"/>
        </w:rPr>
      </w:pPr>
    </w:p>
    <w:p w14:paraId="1B865BB5" w14:textId="52FAC36C" w:rsidR="000838DD" w:rsidRDefault="00650459" w:rsidP="000331DF">
      <w:pPr>
        <w:spacing w:after="0"/>
        <w:jc w:val="both"/>
        <w:rPr>
          <w:rFonts w:ascii="Calibri" w:hAnsi="Calibri" w:cs="Calibri"/>
        </w:rPr>
      </w:pPr>
      <w:r>
        <w:rPr>
          <w:rFonts w:ascii="Calibri" w:hAnsi="Calibri" w:cs="Calibri"/>
        </w:rPr>
        <w:t xml:space="preserve">5.4  </w:t>
      </w:r>
      <w:r w:rsidR="00C22F6B">
        <w:rPr>
          <w:rFonts w:ascii="Calibri" w:hAnsi="Calibri" w:cs="Calibri"/>
        </w:rPr>
        <w:t xml:space="preserve"> </w:t>
      </w:r>
      <w:r w:rsidR="000838DD" w:rsidRPr="000838DD">
        <w:rPr>
          <w:rFonts w:ascii="Calibri" w:hAnsi="Calibri" w:cs="Calibri"/>
        </w:rPr>
        <w:t>In 2024/25, the median hourly pay for White colleagues was 0.34 higher than for BME</w:t>
      </w:r>
      <w:r w:rsidR="000838DD">
        <w:rPr>
          <w:rFonts w:ascii="Calibri" w:hAnsi="Calibri" w:cs="Calibri"/>
        </w:rPr>
        <w:t xml:space="preserve"> </w:t>
      </w:r>
    </w:p>
    <w:p w14:paraId="455FD2A7" w14:textId="12EEFEB6" w:rsidR="000838DD" w:rsidRDefault="000838DD" w:rsidP="000331DF">
      <w:pPr>
        <w:spacing w:after="0"/>
        <w:jc w:val="both"/>
        <w:rPr>
          <w:rFonts w:ascii="Calibri" w:hAnsi="Calibri" w:cs="Calibri"/>
        </w:rPr>
      </w:pPr>
      <w:r>
        <w:rPr>
          <w:rFonts w:ascii="Calibri" w:hAnsi="Calibri" w:cs="Calibri"/>
        </w:rPr>
        <w:t xml:space="preserve">        colleagues,</w:t>
      </w:r>
      <w:r w:rsidRPr="000838DD">
        <w:rPr>
          <w:rFonts w:ascii="Calibri" w:hAnsi="Calibri" w:cs="Calibri"/>
        </w:rPr>
        <w:t xml:space="preserve"> reflecting a 1.78% pay gap in favour of White colleagues</w:t>
      </w:r>
      <w:r w:rsidR="00DC7DBF">
        <w:rPr>
          <w:rFonts w:ascii="Calibri" w:hAnsi="Calibri" w:cs="Calibri"/>
        </w:rPr>
        <w:t xml:space="preserve">, </w:t>
      </w:r>
      <w:r w:rsidRPr="000838DD">
        <w:rPr>
          <w:rFonts w:ascii="Calibri" w:hAnsi="Calibri" w:cs="Calibri"/>
        </w:rPr>
        <w:t xml:space="preserve">an increase from </w:t>
      </w:r>
    </w:p>
    <w:p w14:paraId="3F72373E" w14:textId="4AAA66D1" w:rsidR="00DC7DBF" w:rsidRDefault="000838DD" w:rsidP="000331DF">
      <w:pPr>
        <w:spacing w:after="0"/>
        <w:jc w:val="both"/>
        <w:rPr>
          <w:rFonts w:ascii="Calibri" w:hAnsi="Calibri" w:cs="Calibri"/>
        </w:rPr>
      </w:pPr>
      <w:r>
        <w:rPr>
          <w:rFonts w:ascii="Calibri" w:hAnsi="Calibri" w:cs="Calibri"/>
        </w:rPr>
        <w:t xml:space="preserve">        </w:t>
      </w:r>
      <w:r w:rsidRPr="000838DD">
        <w:rPr>
          <w:rFonts w:ascii="Calibri" w:hAnsi="Calibri" w:cs="Calibri"/>
        </w:rPr>
        <w:t>the previous year.</w:t>
      </w:r>
      <w:r w:rsidR="00DC7DBF">
        <w:rPr>
          <w:rFonts w:ascii="Calibri" w:hAnsi="Calibri" w:cs="Calibri"/>
        </w:rPr>
        <w:t xml:space="preserve"> Figures 5.4.1 and 5.4.2 provide a breakdown of pay differences between  </w:t>
      </w:r>
    </w:p>
    <w:p w14:paraId="5B5453E0" w14:textId="7927DBCD" w:rsidR="00DC7DBF" w:rsidRDefault="00DC7DBF" w:rsidP="000331DF">
      <w:pPr>
        <w:spacing w:after="0"/>
        <w:jc w:val="both"/>
        <w:rPr>
          <w:rFonts w:ascii="Calibri" w:hAnsi="Calibri" w:cs="Calibri"/>
        </w:rPr>
      </w:pPr>
      <w:r>
        <w:rPr>
          <w:rFonts w:ascii="Calibri" w:hAnsi="Calibri" w:cs="Calibri"/>
        </w:rPr>
        <w:t xml:space="preserve">        white colleagues and colleagues from a BME background disaggregated by all staff   </w:t>
      </w:r>
    </w:p>
    <w:p w14:paraId="48B99897" w14:textId="11A2F800" w:rsidR="000331DF" w:rsidRDefault="00DC7DBF" w:rsidP="000331DF">
      <w:pPr>
        <w:spacing w:after="0"/>
        <w:jc w:val="both"/>
        <w:rPr>
          <w:rFonts w:ascii="Calibri" w:hAnsi="Calibri" w:cs="Calibri"/>
        </w:rPr>
      </w:pPr>
      <w:r>
        <w:rPr>
          <w:rFonts w:ascii="Calibri" w:hAnsi="Calibri" w:cs="Calibri"/>
        </w:rPr>
        <w:t xml:space="preserve">        (combined)</w:t>
      </w:r>
      <w:r w:rsidR="003E172B">
        <w:rPr>
          <w:rFonts w:ascii="Calibri" w:hAnsi="Calibri" w:cs="Calibri"/>
        </w:rPr>
        <w:t xml:space="preserve"> </w:t>
      </w:r>
      <w:r>
        <w:rPr>
          <w:rFonts w:ascii="Calibri" w:hAnsi="Calibri" w:cs="Calibri"/>
        </w:rPr>
        <w:t xml:space="preserve">Staff on Agenda for Change terms and conditions and  Medical and Dental </w:t>
      </w:r>
      <w:r w:rsidR="000331DF">
        <w:rPr>
          <w:rFonts w:ascii="Calibri" w:hAnsi="Calibri" w:cs="Calibri"/>
        </w:rPr>
        <w:t xml:space="preserve">  </w:t>
      </w:r>
    </w:p>
    <w:p w14:paraId="16D0771A" w14:textId="5A25DB4B" w:rsidR="00DC7DBF" w:rsidRDefault="000331DF" w:rsidP="000331DF">
      <w:pPr>
        <w:spacing w:after="0"/>
        <w:jc w:val="both"/>
        <w:rPr>
          <w:rFonts w:ascii="Calibri" w:hAnsi="Calibri" w:cs="Calibri"/>
        </w:rPr>
      </w:pPr>
      <w:r>
        <w:rPr>
          <w:rFonts w:ascii="Calibri" w:hAnsi="Calibri" w:cs="Calibri"/>
        </w:rPr>
        <w:t xml:space="preserve">        </w:t>
      </w:r>
      <w:r w:rsidR="00DC7DBF">
        <w:rPr>
          <w:rFonts w:ascii="Calibri" w:hAnsi="Calibri" w:cs="Calibri"/>
        </w:rPr>
        <w:t>Staff.</w:t>
      </w:r>
    </w:p>
    <w:p w14:paraId="78409AEE" w14:textId="31489947" w:rsidR="008A7FB6" w:rsidRDefault="008A7FB6" w:rsidP="000331DF">
      <w:pPr>
        <w:spacing w:after="0"/>
        <w:jc w:val="both"/>
        <w:rPr>
          <w:rFonts w:ascii="Calibri" w:hAnsi="Calibri" w:cs="Calibri"/>
        </w:rPr>
      </w:pPr>
    </w:p>
    <w:tbl>
      <w:tblPr>
        <w:tblW w:w="9422" w:type="dxa"/>
        <w:tblInd w:w="426" w:type="dxa"/>
        <w:tblLook w:val="04A0" w:firstRow="1" w:lastRow="0" w:firstColumn="1" w:lastColumn="0" w:noHBand="0" w:noVBand="1"/>
      </w:tblPr>
      <w:tblGrid>
        <w:gridCol w:w="2954"/>
        <w:gridCol w:w="1820"/>
        <w:gridCol w:w="2020"/>
        <w:gridCol w:w="2020"/>
        <w:gridCol w:w="608"/>
      </w:tblGrid>
      <w:tr w:rsidR="008A7FB6" w:rsidRPr="008A7FB6" w14:paraId="75591D3F" w14:textId="77777777" w:rsidTr="000331DF">
        <w:trPr>
          <w:trHeight w:val="290"/>
        </w:trPr>
        <w:tc>
          <w:tcPr>
            <w:tcW w:w="2954" w:type="dxa"/>
            <w:tcBorders>
              <w:top w:val="nil"/>
              <w:left w:val="nil"/>
              <w:bottom w:val="nil"/>
              <w:right w:val="nil"/>
            </w:tcBorders>
            <w:noWrap/>
            <w:vAlign w:val="bottom"/>
            <w:hideMark/>
          </w:tcPr>
          <w:p w14:paraId="618481D6" w14:textId="7E66062F" w:rsidR="008A7FB6" w:rsidRPr="008A7FB6" w:rsidRDefault="008A7FB6" w:rsidP="000331DF">
            <w:pPr>
              <w:spacing w:after="0"/>
              <w:rPr>
                <w:rFonts w:ascii="Aptos Narrow" w:eastAsia="Times New Roman" w:hAnsi="Aptos Narrow" w:cs="Times New Roman"/>
                <w:b/>
                <w:bCs/>
                <w:color w:val="000000"/>
                <w:kern w:val="0"/>
                <w:sz w:val="22"/>
                <w:szCs w:val="22"/>
                <w:lang w:eastAsia="en-GB"/>
                <w14:ligatures w14:val="none"/>
              </w:rPr>
            </w:pPr>
            <w:r>
              <w:rPr>
                <w:rFonts w:ascii="Aptos Narrow" w:eastAsia="Times New Roman" w:hAnsi="Aptos Narrow" w:cs="Times New Roman"/>
                <w:b/>
                <w:bCs/>
                <w:color w:val="000000"/>
                <w:kern w:val="0"/>
                <w:sz w:val="22"/>
                <w:szCs w:val="22"/>
                <w:lang w:eastAsia="en-GB"/>
                <w14:ligatures w14:val="none"/>
              </w:rPr>
              <w:t xml:space="preserve">Figure 5.4.2 </w:t>
            </w:r>
            <w:r w:rsidRPr="008A7FB6">
              <w:rPr>
                <w:rFonts w:ascii="Aptos Narrow" w:eastAsia="Times New Roman" w:hAnsi="Aptos Narrow" w:cs="Times New Roman"/>
                <w:b/>
                <w:bCs/>
                <w:color w:val="000000"/>
                <w:kern w:val="0"/>
                <w:sz w:val="22"/>
                <w:szCs w:val="22"/>
                <w:lang w:eastAsia="en-GB"/>
                <w14:ligatures w14:val="none"/>
              </w:rPr>
              <w:t>Staffing 2025 Breakdown Median</w:t>
            </w:r>
          </w:p>
        </w:tc>
        <w:tc>
          <w:tcPr>
            <w:tcW w:w="1820" w:type="dxa"/>
            <w:tcBorders>
              <w:top w:val="nil"/>
              <w:left w:val="nil"/>
              <w:bottom w:val="nil"/>
              <w:right w:val="nil"/>
            </w:tcBorders>
            <w:noWrap/>
            <w:vAlign w:val="bottom"/>
            <w:hideMark/>
          </w:tcPr>
          <w:p w14:paraId="3375E5CE" w14:textId="77777777" w:rsidR="008A7FB6" w:rsidRPr="008A7FB6" w:rsidRDefault="008A7FB6" w:rsidP="008A7FB6">
            <w:pPr>
              <w:spacing w:after="0"/>
              <w:ind w:left="0"/>
              <w:rPr>
                <w:rFonts w:ascii="Aptos Narrow" w:eastAsia="Times New Roman" w:hAnsi="Aptos Narrow" w:cs="Times New Roman"/>
                <w:b/>
                <w:bCs/>
                <w:color w:val="000000"/>
                <w:kern w:val="0"/>
                <w:sz w:val="22"/>
                <w:szCs w:val="22"/>
                <w:lang w:eastAsia="en-GB"/>
                <w14:ligatures w14:val="none"/>
              </w:rPr>
            </w:pPr>
          </w:p>
        </w:tc>
        <w:tc>
          <w:tcPr>
            <w:tcW w:w="2020" w:type="dxa"/>
            <w:tcBorders>
              <w:top w:val="nil"/>
              <w:left w:val="nil"/>
              <w:bottom w:val="nil"/>
              <w:right w:val="nil"/>
            </w:tcBorders>
            <w:noWrap/>
            <w:vAlign w:val="bottom"/>
            <w:hideMark/>
          </w:tcPr>
          <w:p w14:paraId="4CFDDB5D" w14:textId="77777777" w:rsidR="008A7FB6" w:rsidRPr="008A7FB6" w:rsidRDefault="008A7FB6" w:rsidP="008A7FB6">
            <w:pPr>
              <w:spacing w:after="0"/>
              <w:ind w:left="0"/>
              <w:rPr>
                <w:rFonts w:ascii="Times New Roman" w:eastAsia="Times New Roman" w:hAnsi="Times New Roman" w:cs="Times New Roman"/>
                <w:kern w:val="0"/>
                <w:sz w:val="20"/>
                <w:szCs w:val="20"/>
                <w:lang w:eastAsia="en-GB"/>
                <w14:ligatures w14:val="none"/>
              </w:rPr>
            </w:pPr>
          </w:p>
        </w:tc>
        <w:tc>
          <w:tcPr>
            <w:tcW w:w="2020" w:type="dxa"/>
            <w:tcBorders>
              <w:top w:val="nil"/>
              <w:left w:val="nil"/>
              <w:bottom w:val="nil"/>
              <w:right w:val="nil"/>
            </w:tcBorders>
            <w:noWrap/>
            <w:vAlign w:val="bottom"/>
            <w:hideMark/>
          </w:tcPr>
          <w:p w14:paraId="41D55C39" w14:textId="77777777" w:rsidR="008A7FB6" w:rsidRPr="008A7FB6" w:rsidRDefault="008A7FB6" w:rsidP="008A7FB6">
            <w:pPr>
              <w:spacing w:after="0"/>
              <w:ind w:left="0"/>
              <w:rPr>
                <w:rFonts w:ascii="Times New Roman" w:eastAsia="Times New Roman" w:hAnsi="Times New Roman" w:cs="Times New Roman"/>
                <w:kern w:val="0"/>
                <w:sz w:val="20"/>
                <w:szCs w:val="20"/>
                <w:lang w:eastAsia="en-GB"/>
                <w14:ligatures w14:val="none"/>
              </w:rPr>
            </w:pPr>
          </w:p>
        </w:tc>
        <w:tc>
          <w:tcPr>
            <w:tcW w:w="608" w:type="dxa"/>
            <w:tcBorders>
              <w:top w:val="nil"/>
              <w:left w:val="nil"/>
              <w:bottom w:val="nil"/>
              <w:right w:val="nil"/>
            </w:tcBorders>
            <w:noWrap/>
            <w:vAlign w:val="bottom"/>
            <w:hideMark/>
          </w:tcPr>
          <w:p w14:paraId="313FBD97" w14:textId="77777777" w:rsidR="008A7FB6" w:rsidRPr="008A7FB6" w:rsidRDefault="008A7FB6" w:rsidP="008A7FB6">
            <w:pPr>
              <w:spacing w:after="0"/>
              <w:ind w:left="0"/>
              <w:rPr>
                <w:rFonts w:ascii="Times New Roman" w:eastAsia="Times New Roman" w:hAnsi="Times New Roman" w:cs="Times New Roman"/>
                <w:kern w:val="0"/>
                <w:sz w:val="20"/>
                <w:szCs w:val="20"/>
                <w:lang w:eastAsia="en-GB"/>
                <w14:ligatures w14:val="none"/>
              </w:rPr>
            </w:pPr>
          </w:p>
        </w:tc>
      </w:tr>
      <w:tr w:rsidR="008A7FB6" w:rsidRPr="008A7FB6" w14:paraId="1C5BA74B" w14:textId="77777777" w:rsidTr="000331DF">
        <w:trPr>
          <w:trHeight w:val="290"/>
        </w:trPr>
        <w:tc>
          <w:tcPr>
            <w:tcW w:w="2954"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76C40074" w14:textId="77777777" w:rsidR="008A7FB6" w:rsidRPr="008A7FB6" w:rsidRDefault="008A7FB6" w:rsidP="008A7FB6">
            <w:pPr>
              <w:spacing w:after="0"/>
              <w:ind w:left="0"/>
              <w:rPr>
                <w:rFonts w:ascii="Aptos Narrow" w:eastAsia="Times New Roman" w:hAnsi="Aptos Narrow" w:cs="Times New Roman"/>
                <w:b/>
                <w:bCs/>
                <w:color w:val="FFFFFF"/>
                <w:kern w:val="0"/>
                <w:sz w:val="22"/>
                <w:szCs w:val="22"/>
                <w:lang w:eastAsia="en-GB"/>
                <w14:ligatures w14:val="none"/>
              </w:rPr>
            </w:pPr>
            <w:r w:rsidRPr="008A7FB6">
              <w:rPr>
                <w:rFonts w:ascii="Aptos Narrow" w:eastAsia="Times New Roman" w:hAnsi="Aptos Narrow" w:cs="Times New Roman"/>
                <w:b/>
                <w:bCs/>
                <w:color w:val="FFFFFF"/>
                <w:kern w:val="0"/>
                <w:sz w:val="22"/>
                <w:szCs w:val="22"/>
                <w:lang w:eastAsia="en-GB"/>
                <w14:ligatures w14:val="none"/>
              </w:rPr>
              <w:t>Staffing Type</w:t>
            </w:r>
          </w:p>
        </w:tc>
        <w:tc>
          <w:tcPr>
            <w:tcW w:w="1820" w:type="dxa"/>
            <w:tcBorders>
              <w:top w:val="single" w:sz="4" w:space="0" w:color="auto"/>
              <w:left w:val="nil"/>
              <w:bottom w:val="single" w:sz="4" w:space="0" w:color="auto"/>
              <w:right w:val="single" w:sz="4" w:space="0" w:color="auto"/>
            </w:tcBorders>
            <w:shd w:val="clear" w:color="000000" w:fill="156082"/>
            <w:noWrap/>
            <w:vAlign w:val="bottom"/>
            <w:hideMark/>
          </w:tcPr>
          <w:p w14:paraId="58526B09" w14:textId="77777777" w:rsidR="008A7FB6" w:rsidRPr="008A7FB6" w:rsidRDefault="008A7FB6" w:rsidP="008A7FB6">
            <w:pPr>
              <w:spacing w:after="0"/>
              <w:ind w:left="0"/>
              <w:rPr>
                <w:rFonts w:ascii="Aptos Narrow" w:eastAsia="Times New Roman" w:hAnsi="Aptos Narrow" w:cs="Times New Roman"/>
                <w:b/>
                <w:bCs/>
                <w:color w:val="FFFFFF"/>
                <w:kern w:val="0"/>
                <w:sz w:val="22"/>
                <w:szCs w:val="22"/>
                <w:lang w:eastAsia="en-GB"/>
                <w14:ligatures w14:val="none"/>
              </w:rPr>
            </w:pPr>
            <w:r w:rsidRPr="008A7FB6">
              <w:rPr>
                <w:rFonts w:ascii="Aptos Narrow" w:eastAsia="Times New Roman" w:hAnsi="Aptos Narrow" w:cs="Times New Roman"/>
                <w:b/>
                <w:bCs/>
                <w:color w:val="FFFFFF"/>
                <w:kern w:val="0"/>
                <w:sz w:val="22"/>
                <w:szCs w:val="22"/>
                <w:lang w:eastAsia="en-GB"/>
                <w14:ligatures w14:val="none"/>
              </w:rPr>
              <w:t>White (£)</w:t>
            </w:r>
          </w:p>
        </w:tc>
        <w:tc>
          <w:tcPr>
            <w:tcW w:w="2020" w:type="dxa"/>
            <w:tcBorders>
              <w:top w:val="single" w:sz="4" w:space="0" w:color="auto"/>
              <w:left w:val="nil"/>
              <w:bottom w:val="single" w:sz="4" w:space="0" w:color="auto"/>
              <w:right w:val="single" w:sz="4" w:space="0" w:color="auto"/>
            </w:tcBorders>
            <w:shd w:val="clear" w:color="000000" w:fill="156082"/>
            <w:noWrap/>
            <w:vAlign w:val="bottom"/>
            <w:hideMark/>
          </w:tcPr>
          <w:p w14:paraId="6CE10CB6" w14:textId="77777777" w:rsidR="008A7FB6" w:rsidRPr="008A7FB6" w:rsidRDefault="008A7FB6" w:rsidP="008A7FB6">
            <w:pPr>
              <w:spacing w:after="0"/>
              <w:ind w:left="0"/>
              <w:rPr>
                <w:rFonts w:ascii="Aptos Narrow" w:eastAsia="Times New Roman" w:hAnsi="Aptos Narrow" w:cs="Times New Roman"/>
                <w:b/>
                <w:bCs/>
                <w:color w:val="FFFFFF"/>
                <w:kern w:val="0"/>
                <w:sz w:val="22"/>
                <w:szCs w:val="22"/>
                <w:lang w:eastAsia="en-GB"/>
                <w14:ligatures w14:val="none"/>
              </w:rPr>
            </w:pPr>
            <w:r w:rsidRPr="008A7FB6">
              <w:rPr>
                <w:rFonts w:ascii="Aptos Narrow" w:eastAsia="Times New Roman" w:hAnsi="Aptos Narrow" w:cs="Times New Roman"/>
                <w:b/>
                <w:bCs/>
                <w:color w:val="FFFFFF"/>
                <w:kern w:val="0"/>
                <w:sz w:val="22"/>
                <w:szCs w:val="22"/>
                <w:lang w:eastAsia="en-GB"/>
                <w14:ligatures w14:val="none"/>
              </w:rPr>
              <w:t>BAME (£)</w:t>
            </w:r>
          </w:p>
        </w:tc>
        <w:tc>
          <w:tcPr>
            <w:tcW w:w="2020" w:type="dxa"/>
            <w:tcBorders>
              <w:top w:val="single" w:sz="4" w:space="0" w:color="auto"/>
              <w:left w:val="nil"/>
              <w:bottom w:val="single" w:sz="4" w:space="0" w:color="auto"/>
              <w:right w:val="single" w:sz="4" w:space="0" w:color="auto"/>
            </w:tcBorders>
            <w:shd w:val="clear" w:color="000000" w:fill="156082"/>
            <w:noWrap/>
            <w:vAlign w:val="bottom"/>
            <w:hideMark/>
          </w:tcPr>
          <w:p w14:paraId="10B19729" w14:textId="77777777" w:rsidR="008A7FB6" w:rsidRPr="008A7FB6" w:rsidRDefault="008A7FB6" w:rsidP="008A7FB6">
            <w:pPr>
              <w:spacing w:after="0"/>
              <w:ind w:left="0"/>
              <w:rPr>
                <w:rFonts w:ascii="Aptos Narrow" w:eastAsia="Times New Roman" w:hAnsi="Aptos Narrow" w:cs="Times New Roman"/>
                <w:b/>
                <w:bCs/>
                <w:color w:val="FFFFFF"/>
                <w:kern w:val="0"/>
                <w:sz w:val="22"/>
                <w:szCs w:val="22"/>
                <w:lang w:eastAsia="en-GB"/>
                <w14:ligatures w14:val="none"/>
              </w:rPr>
            </w:pPr>
            <w:r w:rsidRPr="008A7FB6">
              <w:rPr>
                <w:rFonts w:ascii="Aptos Narrow" w:eastAsia="Times New Roman" w:hAnsi="Aptos Narrow" w:cs="Times New Roman"/>
                <w:b/>
                <w:bCs/>
                <w:color w:val="FFFFFF"/>
                <w:kern w:val="0"/>
                <w:sz w:val="22"/>
                <w:szCs w:val="22"/>
                <w:lang w:eastAsia="en-GB"/>
                <w14:ligatures w14:val="none"/>
              </w:rPr>
              <w:t>Difference</w:t>
            </w:r>
          </w:p>
        </w:tc>
        <w:tc>
          <w:tcPr>
            <w:tcW w:w="608" w:type="dxa"/>
            <w:tcBorders>
              <w:top w:val="single" w:sz="4" w:space="0" w:color="auto"/>
              <w:left w:val="nil"/>
              <w:bottom w:val="single" w:sz="4" w:space="0" w:color="auto"/>
              <w:right w:val="single" w:sz="4" w:space="0" w:color="auto"/>
            </w:tcBorders>
            <w:shd w:val="clear" w:color="000000" w:fill="156082"/>
            <w:noWrap/>
            <w:vAlign w:val="bottom"/>
            <w:hideMark/>
          </w:tcPr>
          <w:p w14:paraId="0800A8E2" w14:textId="77777777" w:rsidR="008A7FB6" w:rsidRPr="008A7FB6" w:rsidRDefault="008A7FB6" w:rsidP="008A7FB6">
            <w:pPr>
              <w:spacing w:after="0"/>
              <w:ind w:left="0"/>
              <w:rPr>
                <w:rFonts w:ascii="Aptos Narrow" w:eastAsia="Times New Roman" w:hAnsi="Aptos Narrow" w:cs="Times New Roman"/>
                <w:b/>
                <w:bCs/>
                <w:color w:val="FFFFFF"/>
                <w:kern w:val="0"/>
                <w:sz w:val="22"/>
                <w:szCs w:val="22"/>
                <w:lang w:eastAsia="en-GB"/>
                <w14:ligatures w14:val="none"/>
              </w:rPr>
            </w:pPr>
            <w:r w:rsidRPr="008A7FB6">
              <w:rPr>
                <w:rFonts w:ascii="Aptos Narrow" w:eastAsia="Times New Roman" w:hAnsi="Aptos Narrow" w:cs="Times New Roman"/>
                <w:b/>
                <w:bCs/>
                <w:color w:val="FFFFFF"/>
                <w:kern w:val="0"/>
                <w:sz w:val="22"/>
                <w:szCs w:val="22"/>
                <w:lang w:eastAsia="en-GB"/>
                <w14:ligatures w14:val="none"/>
              </w:rPr>
              <w:t>Pay Gap %</w:t>
            </w:r>
          </w:p>
        </w:tc>
      </w:tr>
      <w:tr w:rsidR="008A7FB6" w:rsidRPr="008A7FB6" w14:paraId="43EDBF36" w14:textId="77777777" w:rsidTr="000331DF">
        <w:trPr>
          <w:trHeight w:val="290"/>
        </w:trPr>
        <w:tc>
          <w:tcPr>
            <w:tcW w:w="2954" w:type="dxa"/>
            <w:tcBorders>
              <w:top w:val="nil"/>
              <w:left w:val="single" w:sz="4" w:space="0" w:color="auto"/>
              <w:bottom w:val="single" w:sz="4" w:space="0" w:color="auto"/>
              <w:right w:val="single" w:sz="4" w:space="0" w:color="auto"/>
            </w:tcBorders>
            <w:noWrap/>
            <w:vAlign w:val="bottom"/>
            <w:hideMark/>
          </w:tcPr>
          <w:p w14:paraId="032D9CC6" w14:textId="77777777" w:rsidR="008A7FB6" w:rsidRPr="008A7FB6" w:rsidRDefault="008A7FB6" w:rsidP="008A7FB6">
            <w:pPr>
              <w:spacing w:after="0"/>
              <w:ind w:left="0"/>
              <w:rPr>
                <w:rFonts w:ascii="Aptos Narrow" w:eastAsia="Times New Roman" w:hAnsi="Aptos Narrow" w:cs="Times New Roman"/>
                <w:color w:val="000000"/>
                <w:kern w:val="0"/>
                <w:sz w:val="22"/>
                <w:szCs w:val="22"/>
                <w:lang w:eastAsia="en-GB"/>
                <w14:ligatures w14:val="none"/>
              </w:rPr>
            </w:pPr>
            <w:r w:rsidRPr="008A7FB6">
              <w:rPr>
                <w:rFonts w:ascii="Aptos Narrow" w:eastAsia="Times New Roman" w:hAnsi="Aptos Narrow" w:cs="Times New Roman"/>
                <w:color w:val="000000"/>
                <w:kern w:val="0"/>
                <w:sz w:val="22"/>
                <w:szCs w:val="22"/>
                <w:lang w:eastAsia="en-GB"/>
                <w14:ligatures w14:val="none"/>
              </w:rPr>
              <w:t>All Staff</w:t>
            </w:r>
          </w:p>
        </w:tc>
        <w:tc>
          <w:tcPr>
            <w:tcW w:w="1820" w:type="dxa"/>
            <w:tcBorders>
              <w:top w:val="nil"/>
              <w:left w:val="nil"/>
              <w:bottom w:val="single" w:sz="4" w:space="0" w:color="auto"/>
              <w:right w:val="single" w:sz="4" w:space="0" w:color="auto"/>
            </w:tcBorders>
            <w:noWrap/>
            <w:vAlign w:val="bottom"/>
            <w:hideMark/>
          </w:tcPr>
          <w:p w14:paraId="07E41812" w14:textId="77777777" w:rsidR="008A7FB6" w:rsidRPr="008A7FB6" w:rsidRDefault="008A7FB6" w:rsidP="008A7FB6">
            <w:pPr>
              <w:spacing w:after="0"/>
              <w:ind w:left="0"/>
              <w:jc w:val="right"/>
              <w:rPr>
                <w:rFonts w:ascii="Aptos Narrow" w:eastAsia="Times New Roman" w:hAnsi="Aptos Narrow" w:cs="Times New Roman"/>
                <w:color w:val="000000"/>
                <w:kern w:val="0"/>
                <w:sz w:val="22"/>
                <w:szCs w:val="22"/>
                <w:lang w:eastAsia="en-GB"/>
                <w14:ligatures w14:val="none"/>
              </w:rPr>
            </w:pPr>
            <w:r w:rsidRPr="008A7FB6">
              <w:rPr>
                <w:rFonts w:ascii="Aptos Narrow" w:eastAsia="Times New Roman" w:hAnsi="Aptos Narrow" w:cs="Times New Roman"/>
                <w:color w:val="000000"/>
                <w:kern w:val="0"/>
                <w:sz w:val="22"/>
                <w:szCs w:val="22"/>
                <w:lang w:eastAsia="en-GB"/>
                <w14:ligatures w14:val="none"/>
              </w:rPr>
              <w:t>19.09</w:t>
            </w:r>
          </w:p>
        </w:tc>
        <w:tc>
          <w:tcPr>
            <w:tcW w:w="2020" w:type="dxa"/>
            <w:tcBorders>
              <w:top w:val="nil"/>
              <w:left w:val="nil"/>
              <w:bottom w:val="single" w:sz="4" w:space="0" w:color="auto"/>
              <w:right w:val="single" w:sz="4" w:space="0" w:color="auto"/>
            </w:tcBorders>
            <w:noWrap/>
            <w:vAlign w:val="bottom"/>
            <w:hideMark/>
          </w:tcPr>
          <w:p w14:paraId="547C3099" w14:textId="77777777" w:rsidR="008A7FB6" w:rsidRPr="008A7FB6" w:rsidRDefault="008A7FB6" w:rsidP="008A7FB6">
            <w:pPr>
              <w:spacing w:after="0"/>
              <w:ind w:left="0"/>
              <w:jc w:val="right"/>
              <w:rPr>
                <w:rFonts w:ascii="Aptos Narrow" w:eastAsia="Times New Roman" w:hAnsi="Aptos Narrow" w:cs="Times New Roman"/>
                <w:color w:val="000000"/>
                <w:kern w:val="0"/>
                <w:sz w:val="22"/>
                <w:szCs w:val="22"/>
                <w:lang w:eastAsia="en-GB"/>
                <w14:ligatures w14:val="none"/>
              </w:rPr>
            </w:pPr>
            <w:r w:rsidRPr="008A7FB6">
              <w:rPr>
                <w:rFonts w:ascii="Aptos Narrow" w:eastAsia="Times New Roman" w:hAnsi="Aptos Narrow" w:cs="Times New Roman"/>
                <w:color w:val="000000"/>
                <w:kern w:val="0"/>
                <w:sz w:val="22"/>
                <w:szCs w:val="22"/>
                <w:lang w:eastAsia="en-GB"/>
                <w14:ligatures w14:val="none"/>
              </w:rPr>
              <w:t>18.75</w:t>
            </w:r>
          </w:p>
        </w:tc>
        <w:tc>
          <w:tcPr>
            <w:tcW w:w="2020" w:type="dxa"/>
            <w:tcBorders>
              <w:top w:val="nil"/>
              <w:left w:val="nil"/>
              <w:bottom w:val="single" w:sz="4" w:space="0" w:color="auto"/>
              <w:right w:val="single" w:sz="4" w:space="0" w:color="auto"/>
            </w:tcBorders>
            <w:noWrap/>
            <w:vAlign w:val="bottom"/>
            <w:hideMark/>
          </w:tcPr>
          <w:p w14:paraId="3B61480C" w14:textId="77777777" w:rsidR="008A7FB6" w:rsidRPr="008A7FB6" w:rsidRDefault="008A7FB6" w:rsidP="008A7FB6">
            <w:pPr>
              <w:spacing w:after="0"/>
              <w:ind w:left="0"/>
              <w:jc w:val="right"/>
              <w:rPr>
                <w:rFonts w:ascii="Aptos Narrow" w:eastAsia="Times New Roman" w:hAnsi="Aptos Narrow" w:cs="Times New Roman"/>
                <w:color w:val="000000"/>
                <w:kern w:val="0"/>
                <w:sz w:val="22"/>
                <w:szCs w:val="22"/>
                <w:lang w:eastAsia="en-GB"/>
                <w14:ligatures w14:val="none"/>
              </w:rPr>
            </w:pPr>
            <w:r w:rsidRPr="008A7FB6">
              <w:rPr>
                <w:rFonts w:ascii="Aptos Narrow" w:eastAsia="Times New Roman" w:hAnsi="Aptos Narrow" w:cs="Times New Roman"/>
                <w:color w:val="000000"/>
                <w:kern w:val="0"/>
                <w:sz w:val="22"/>
                <w:szCs w:val="22"/>
                <w:lang w:eastAsia="en-GB"/>
                <w14:ligatures w14:val="none"/>
              </w:rPr>
              <w:t>0.34</w:t>
            </w:r>
          </w:p>
        </w:tc>
        <w:tc>
          <w:tcPr>
            <w:tcW w:w="608" w:type="dxa"/>
            <w:tcBorders>
              <w:top w:val="nil"/>
              <w:left w:val="nil"/>
              <w:bottom w:val="single" w:sz="4" w:space="0" w:color="auto"/>
              <w:right w:val="single" w:sz="4" w:space="0" w:color="auto"/>
            </w:tcBorders>
            <w:noWrap/>
            <w:vAlign w:val="bottom"/>
            <w:hideMark/>
          </w:tcPr>
          <w:p w14:paraId="1E15C330" w14:textId="77777777" w:rsidR="008A7FB6" w:rsidRPr="008A7FB6" w:rsidRDefault="008A7FB6" w:rsidP="008A7FB6">
            <w:pPr>
              <w:spacing w:after="0"/>
              <w:ind w:left="0"/>
              <w:jc w:val="right"/>
              <w:rPr>
                <w:rFonts w:ascii="Aptos Narrow" w:eastAsia="Times New Roman" w:hAnsi="Aptos Narrow" w:cs="Times New Roman"/>
                <w:color w:val="000000"/>
                <w:kern w:val="0"/>
                <w:sz w:val="22"/>
                <w:szCs w:val="22"/>
                <w:lang w:eastAsia="en-GB"/>
                <w14:ligatures w14:val="none"/>
              </w:rPr>
            </w:pPr>
            <w:r w:rsidRPr="008A7FB6">
              <w:rPr>
                <w:rFonts w:ascii="Aptos Narrow" w:eastAsia="Times New Roman" w:hAnsi="Aptos Narrow" w:cs="Times New Roman"/>
                <w:color w:val="000000"/>
                <w:kern w:val="0"/>
                <w:sz w:val="22"/>
                <w:szCs w:val="22"/>
                <w:lang w:eastAsia="en-GB"/>
                <w14:ligatures w14:val="none"/>
              </w:rPr>
              <w:t>1.78</w:t>
            </w:r>
          </w:p>
        </w:tc>
      </w:tr>
      <w:tr w:rsidR="008A7FB6" w:rsidRPr="008A7FB6" w14:paraId="36DB88E5" w14:textId="77777777" w:rsidTr="000331DF">
        <w:trPr>
          <w:trHeight w:val="290"/>
        </w:trPr>
        <w:tc>
          <w:tcPr>
            <w:tcW w:w="2954" w:type="dxa"/>
            <w:tcBorders>
              <w:top w:val="nil"/>
              <w:left w:val="single" w:sz="4" w:space="0" w:color="auto"/>
              <w:bottom w:val="single" w:sz="4" w:space="0" w:color="auto"/>
              <w:right w:val="single" w:sz="4" w:space="0" w:color="auto"/>
            </w:tcBorders>
            <w:noWrap/>
            <w:vAlign w:val="bottom"/>
            <w:hideMark/>
          </w:tcPr>
          <w:p w14:paraId="12CD4BFE" w14:textId="77777777" w:rsidR="008A7FB6" w:rsidRPr="008A7FB6" w:rsidRDefault="008A7FB6" w:rsidP="008A7FB6">
            <w:pPr>
              <w:spacing w:after="0"/>
              <w:ind w:left="0"/>
              <w:rPr>
                <w:rFonts w:ascii="Aptos Narrow" w:eastAsia="Times New Roman" w:hAnsi="Aptos Narrow" w:cs="Times New Roman"/>
                <w:color w:val="000000"/>
                <w:kern w:val="0"/>
                <w:sz w:val="22"/>
                <w:szCs w:val="22"/>
                <w:lang w:eastAsia="en-GB"/>
                <w14:ligatures w14:val="none"/>
              </w:rPr>
            </w:pPr>
            <w:r w:rsidRPr="008A7FB6">
              <w:rPr>
                <w:rFonts w:ascii="Aptos Narrow" w:eastAsia="Times New Roman" w:hAnsi="Aptos Narrow" w:cs="Times New Roman"/>
                <w:color w:val="000000"/>
                <w:kern w:val="0"/>
                <w:sz w:val="22"/>
                <w:szCs w:val="22"/>
                <w:lang w:eastAsia="en-GB"/>
                <w14:ligatures w14:val="none"/>
              </w:rPr>
              <w:t>Agenda For Change &amp; Other</w:t>
            </w:r>
          </w:p>
        </w:tc>
        <w:tc>
          <w:tcPr>
            <w:tcW w:w="1820" w:type="dxa"/>
            <w:tcBorders>
              <w:top w:val="nil"/>
              <w:left w:val="nil"/>
              <w:bottom w:val="single" w:sz="4" w:space="0" w:color="auto"/>
              <w:right w:val="single" w:sz="4" w:space="0" w:color="auto"/>
            </w:tcBorders>
            <w:noWrap/>
            <w:vAlign w:val="bottom"/>
            <w:hideMark/>
          </w:tcPr>
          <w:p w14:paraId="68E90CCA" w14:textId="77777777" w:rsidR="008A7FB6" w:rsidRPr="008A7FB6" w:rsidRDefault="008A7FB6" w:rsidP="008A7FB6">
            <w:pPr>
              <w:spacing w:after="0"/>
              <w:ind w:left="0"/>
              <w:jc w:val="right"/>
              <w:rPr>
                <w:rFonts w:ascii="Aptos Narrow" w:eastAsia="Times New Roman" w:hAnsi="Aptos Narrow" w:cs="Times New Roman"/>
                <w:color w:val="000000"/>
                <w:kern w:val="0"/>
                <w:sz w:val="22"/>
                <w:szCs w:val="22"/>
                <w:lang w:eastAsia="en-GB"/>
                <w14:ligatures w14:val="none"/>
              </w:rPr>
            </w:pPr>
            <w:r w:rsidRPr="008A7FB6">
              <w:rPr>
                <w:rFonts w:ascii="Aptos Narrow" w:eastAsia="Times New Roman" w:hAnsi="Aptos Narrow" w:cs="Times New Roman"/>
                <w:color w:val="000000"/>
                <w:kern w:val="0"/>
                <w:sz w:val="22"/>
                <w:szCs w:val="22"/>
                <w:lang w:eastAsia="en-GB"/>
                <w14:ligatures w14:val="none"/>
              </w:rPr>
              <w:t>18.66</w:t>
            </w:r>
          </w:p>
        </w:tc>
        <w:tc>
          <w:tcPr>
            <w:tcW w:w="2020" w:type="dxa"/>
            <w:tcBorders>
              <w:top w:val="nil"/>
              <w:left w:val="nil"/>
              <w:bottom w:val="single" w:sz="4" w:space="0" w:color="auto"/>
              <w:right w:val="single" w:sz="4" w:space="0" w:color="auto"/>
            </w:tcBorders>
            <w:noWrap/>
            <w:vAlign w:val="bottom"/>
            <w:hideMark/>
          </w:tcPr>
          <w:p w14:paraId="4F9C8017" w14:textId="77777777" w:rsidR="008A7FB6" w:rsidRPr="008A7FB6" w:rsidRDefault="008A7FB6" w:rsidP="008A7FB6">
            <w:pPr>
              <w:spacing w:after="0"/>
              <w:ind w:left="0"/>
              <w:jc w:val="right"/>
              <w:rPr>
                <w:rFonts w:ascii="Aptos Narrow" w:eastAsia="Times New Roman" w:hAnsi="Aptos Narrow" w:cs="Times New Roman"/>
                <w:color w:val="000000"/>
                <w:kern w:val="0"/>
                <w:sz w:val="22"/>
                <w:szCs w:val="22"/>
                <w:lang w:eastAsia="en-GB"/>
                <w14:ligatures w14:val="none"/>
              </w:rPr>
            </w:pPr>
            <w:r w:rsidRPr="008A7FB6">
              <w:rPr>
                <w:rFonts w:ascii="Aptos Narrow" w:eastAsia="Times New Roman" w:hAnsi="Aptos Narrow" w:cs="Times New Roman"/>
                <w:color w:val="000000"/>
                <w:kern w:val="0"/>
                <w:sz w:val="22"/>
                <w:szCs w:val="22"/>
                <w:lang w:eastAsia="en-GB"/>
                <w14:ligatures w14:val="none"/>
              </w:rPr>
              <w:t>17.27</w:t>
            </w:r>
          </w:p>
        </w:tc>
        <w:tc>
          <w:tcPr>
            <w:tcW w:w="2020" w:type="dxa"/>
            <w:tcBorders>
              <w:top w:val="nil"/>
              <w:left w:val="nil"/>
              <w:bottom w:val="single" w:sz="4" w:space="0" w:color="auto"/>
              <w:right w:val="single" w:sz="4" w:space="0" w:color="auto"/>
            </w:tcBorders>
            <w:noWrap/>
            <w:vAlign w:val="bottom"/>
            <w:hideMark/>
          </w:tcPr>
          <w:p w14:paraId="41EAE2F9" w14:textId="77777777" w:rsidR="008A7FB6" w:rsidRPr="008A7FB6" w:rsidRDefault="008A7FB6" w:rsidP="008A7FB6">
            <w:pPr>
              <w:spacing w:after="0"/>
              <w:ind w:left="0"/>
              <w:jc w:val="right"/>
              <w:rPr>
                <w:rFonts w:ascii="Aptos Narrow" w:eastAsia="Times New Roman" w:hAnsi="Aptos Narrow" w:cs="Times New Roman"/>
                <w:color w:val="000000"/>
                <w:kern w:val="0"/>
                <w:sz w:val="22"/>
                <w:szCs w:val="22"/>
                <w:lang w:eastAsia="en-GB"/>
                <w14:ligatures w14:val="none"/>
              </w:rPr>
            </w:pPr>
            <w:r w:rsidRPr="008A7FB6">
              <w:rPr>
                <w:rFonts w:ascii="Aptos Narrow" w:eastAsia="Times New Roman" w:hAnsi="Aptos Narrow" w:cs="Times New Roman"/>
                <w:color w:val="000000"/>
                <w:kern w:val="0"/>
                <w:sz w:val="22"/>
                <w:szCs w:val="22"/>
                <w:lang w:eastAsia="en-GB"/>
                <w14:ligatures w14:val="none"/>
              </w:rPr>
              <w:t>1.39</w:t>
            </w:r>
          </w:p>
        </w:tc>
        <w:tc>
          <w:tcPr>
            <w:tcW w:w="608" w:type="dxa"/>
            <w:tcBorders>
              <w:top w:val="nil"/>
              <w:left w:val="nil"/>
              <w:bottom w:val="single" w:sz="4" w:space="0" w:color="auto"/>
              <w:right w:val="single" w:sz="4" w:space="0" w:color="auto"/>
            </w:tcBorders>
            <w:noWrap/>
            <w:vAlign w:val="bottom"/>
            <w:hideMark/>
          </w:tcPr>
          <w:p w14:paraId="6B124485" w14:textId="77777777" w:rsidR="008A7FB6" w:rsidRPr="008A7FB6" w:rsidRDefault="008A7FB6" w:rsidP="008A7FB6">
            <w:pPr>
              <w:spacing w:after="0"/>
              <w:ind w:left="0"/>
              <w:jc w:val="right"/>
              <w:rPr>
                <w:rFonts w:ascii="Aptos Narrow" w:eastAsia="Times New Roman" w:hAnsi="Aptos Narrow" w:cs="Times New Roman"/>
                <w:color w:val="000000"/>
                <w:kern w:val="0"/>
                <w:sz w:val="22"/>
                <w:szCs w:val="22"/>
                <w:lang w:eastAsia="en-GB"/>
                <w14:ligatures w14:val="none"/>
              </w:rPr>
            </w:pPr>
            <w:r w:rsidRPr="008A7FB6">
              <w:rPr>
                <w:rFonts w:ascii="Aptos Narrow" w:eastAsia="Times New Roman" w:hAnsi="Aptos Narrow" w:cs="Times New Roman"/>
                <w:color w:val="000000"/>
                <w:kern w:val="0"/>
                <w:sz w:val="22"/>
                <w:szCs w:val="22"/>
                <w:lang w:eastAsia="en-GB"/>
                <w14:ligatures w14:val="none"/>
              </w:rPr>
              <w:t>7.45</w:t>
            </w:r>
          </w:p>
        </w:tc>
      </w:tr>
      <w:tr w:rsidR="008A7FB6" w:rsidRPr="008A7FB6" w14:paraId="41188564" w14:textId="77777777" w:rsidTr="000331DF">
        <w:trPr>
          <w:trHeight w:val="290"/>
        </w:trPr>
        <w:tc>
          <w:tcPr>
            <w:tcW w:w="2954" w:type="dxa"/>
            <w:tcBorders>
              <w:top w:val="nil"/>
              <w:left w:val="single" w:sz="4" w:space="0" w:color="auto"/>
              <w:bottom w:val="single" w:sz="4" w:space="0" w:color="auto"/>
              <w:right w:val="single" w:sz="4" w:space="0" w:color="auto"/>
            </w:tcBorders>
            <w:noWrap/>
            <w:vAlign w:val="bottom"/>
            <w:hideMark/>
          </w:tcPr>
          <w:p w14:paraId="1F1F864C" w14:textId="77777777" w:rsidR="008A7FB6" w:rsidRPr="008A7FB6" w:rsidRDefault="008A7FB6" w:rsidP="008A7FB6">
            <w:pPr>
              <w:spacing w:after="0"/>
              <w:ind w:left="0"/>
              <w:rPr>
                <w:rFonts w:ascii="Aptos Narrow" w:eastAsia="Times New Roman" w:hAnsi="Aptos Narrow" w:cs="Times New Roman"/>
                <w:color w:val="000000"/>
                <w:kern w:val="0"/>
                <w:sz w:val="22"/>
                <w:szCs w:val="22"/>
                <w:lang w:eastAsia="en-GB"/>
                <w14:ligatures w14:val="none"/>
              </w:rPr>
            </w:pPr>
            <w:r w:rsidRPr="008A7FB6">
              <w:rPr>
                <w:rFonts w:ascii="Aptos Narrow" w:eastAsia="Times New Roman" w:hAnsi="Aptos Narrow" w:cs="Times New Roman"/>
                <w:color w:val="000000"/>
                <w:kern w:val="0"/>
                <w:sz w:val="22"/>
                <w:szCs w:val="22"/>
                <w:lang w:eastAsia="en-GB"/>
                <w14:ligatures w14:val="none"/>
              </w:rPr>
              <w:t>Medical &amp; Dental</w:t>
            </w:r>
          </w:p>
        </w:tc>
        <w:tc>
          <w:tcPr>
            <w:tcW w:w="1820" w:type="dxa"/>
            <w:tcBorders>
              <w:top w:val="nil"/>
              <w:left w:val="nil"/>
              <w:bottom w:val="single" w:sz="4" w:space="0" w:color="auto"/>
              <w:right w:val="single" w:sz="4" w:space="0" w:color="auto"/>
            </w:tcBorders>
            <w:noWrap/>
            <w:vAlign w:val="bottom"/>
            <w:hideMark/>
          </w:tcPr>
          <w:p w14:paraId="176FC191" w14:textId="77777777" w:rsidR="008A7FB6" w:rsidRPr="008A7FB6" w:rsidRDefault="008A7FB6" w:rsidP="008A7FB6">
            <w:pPr>
              <w:spacing w:after="0"/>
              <w:ind w:left="0"/>
              <w:jc w:val="right"/>
              <w:rPr>
                <w:rFonts w:ascii="Aptos Narrow" w:eastAsia="Times New Roman" w:hAnsi="Aptos Narrow" w:cs="Times New Roman"/>
                <w:color w:val="000000"/>
                <w:kern w:val="0"/>
                <w:sz w:val="22"/>
                <w:szCs w:val="22"/>
                <w:lang w:eastAsia="en-GB"/>
                <w14:ligatures w14:val="none"/>
              </w:rPr>
            </w:pPr>
            <w:r w:rsidRPr="008A7FB6">
              <w:rPr>
                <w:rFonts w:ascii="Aptos Narrow" w:eastAsia="Times New Roman" w:hAnsi="Aptos Narrow" w:cs="Times New Roman"/>
                <w:color w:val="000000"/>
                <w:kern w:val="0"/>
                <w:sz w:val="22"/>
                <w:szCs w:val="22"/>
                <w:lang w:eastAsia="en-GB"/>
                <w14:ligatures w14:val="none"/>
              </w:rPr>
              <w:t>42.4</w:t>
            </w:r>
          </w:p>
        </w:tc>
        <w:tc>
          <w:tcPr>
            <w:tcW w:w="2020" w:type="dxa"/>
            <w:tcBorders>
              <w:top w:val="nil"/>
              <w:left w:val="nil"/>
              <w:bottom w:val="single" w:sz="4" w:space="0" w:color="auto"/>
              <w:right w:val="single" w:sz="4" w:space="0" w:color="auto"/>
            </w:tcBorders>
            <w:noWrap/>
            <w:vAlign w:val="bottom"/>
            <w:hideMark/>
          </w:tcPr>
          <w:p w14:paraId="356194BE" w14:textId="77777777" w:rsidR="008A7FB6" w:rsidRPr="008A7FB6" w:rsidRDefault="008A7FB6" w:rsidP="008A7FB6">
            <w:pPr>
              <w:spacing w:after="0"/>
              <w:ind w:left="0"/>
              <w:jc w:val="right"/>
              <w:rPr>
                <w:rFonts w:ascii="Aptos Narrow" w:eastAsia="Times New Roman" w:hAnsi="Aptos Narrow" w:cs="Times New Roman"/>
                <w:color w:val="000000"/>
                <w:kern w:val="0"/>
                <w:sz w:val="22"/>
                <w:szCs w:val="22"/>
                <w:lang w:eastAsia="en-GB"/>
                <w14:ligatures w14:val="none"/>
              </w:rPr>
            </w:pPr>
            <w:r w:rsidRPr="008A7FB6">
              <w:rPr>
                <w:rFonts w:ascii="Aptos Narrow" w:eastAsia="Times New Roman" w:hAnsi="Aptos Narrow" w:cs="Times New Roman"/>
                <w:color w:val="000000"/>
                <w:kern w:val="0"/>
                <w:sz w:val="22"/>
                <w:szCs w:val="22"/>
                <w:lang w:eastAsia="en-GB"/>
                <w14:ligatures w14:val="none"/>
              </w:rPr>
              <w:t>43.13</w:t>
            </w:r>
          </w:p>
        </w:tc>
        <w:tc>
          <w:tcPr>
            <w:tcW w:w="2020" w:type="dxa"/>
            <w:tcBorders>
              <w:top w:val="nil"/>
              <w:left w:val="nil"/>
              <w:bottom w:val="single" w:sz="4" w:space="0" w:color="auto"/>
              <w:right w:val="single" w:sz="4" w:space="0" w:color="auto"/>
            </w:tcBorders>
            <w:noWrap/>
            <w:vAlign w:val="bottom"/>
            <w:hideMark/>
          </w:tcPr>
          <w:p w14:paraId="7B941848" w14:textId="77777777" w:rsidR="008A7FB6" w:rsidRPr="008A7FB6" w:rsidRDefault="008A7FB6" w:rsidP="008A7FB6">
            <w:pPr>
              <w:spacing w:after="0"/>
              <w:ind w:left="0"/>
              <w:jc w:val="right"/>
              <w:rPr>
                <w:rFonts w:ascii="Aptos Narrow" w:eastAsia="Times New Roman" w:hAnsi="Aptos Narrow" w:cs="Times New Roman"/>
                <w:color w:val="000000"/>
                <w:kern w:val="0"/>
                <w:sz w:val="22"/>
                <w:szCs w:val="22"/>
                <w:lang w:eastAsia="en-GB"/>
                <w14:ligatures w14:val="none"/>
              </w:rPr>
            </w:pPr>
            <w:r w:rsidRPr="008A7FB6">
              <w:rPr>
                <w:rFonts w:ascii="Aptos Narrow" w:eastAsia="Times New Roman" w:hAnsi="Aptos Narrow" w:cs="Times New Roman"/>
                <w:color w:val="000000"/>
                <w:kern w:val="0"/>
                <w:sz w:val="22"/>
                <w:szCs w:val="22"/>
                <w:lang w:eastAsia="en-GB"/>
                <w14:ligatures w14:val="none"/>
              </w:rPr>
              <w:t>-0.73</w:t>
            </w:r>
          </w:p>
        </w:tc>
        <w:tc>
          <w:tcPr>
            <w:tcW w:w="608" w:type="dxa"/>
            <w:tcBorders>
              <w:top w:val="nil"/>
              <w:left w:val="nil"/>
              <w:bottom w:val="single" w:sz="4" w:space="0" w:color="auto"/>
              <w:right w:val="single" w:sz="4" w:space="0" w:color="auto"/>
            </w:tcBorders>
            <w:noWrap/>
            <w:vAlign w:val="bottom"/>
            <w:hideMark/>
          </w:tcPr>
          <w:p w14:paraId="7B748B7F" w14:textId="77777777" w:rsidR="008A7FB6" w:rsidRPr="008A7FB6" w:rsidRDefault="008A7FB6" w:rsidP="008A7FB6">
            <w:pPr>
              <w:spacing w:after="0"/>
              <w:ind w:left="0"/>
              <w:jc w:val="right"/>
              <w:rPr>
                <w:rFonts w:ascii="Aptos Narrow" w:eastAsia="Times New Roman" w:hAnsi="Aptos Narrow" w:cs="Times New Roman"/>
                <w:color w:val="000000"/>
                <w:kern w:val="0"/>
                <w:sz w:val="22"/>
                <w:szCs w:val="22"/>
                <w:lang w:eastAsia="en-GB"/>
                <w14:ligatures w14:val="none"/>
              </w:rPr>
            </w:pPr>
            <w:r w:rsidRPr="008A7FB6">
              <w:rPr>
                <w:rFonts w:ascii="Aptos Narrow" w:eastAsia="Times New Roman" w:hAnsi="Aptos Narrow" w:cs="Times New Roman"/>
                <w:color w:val="000000"/>
                <w:kern w:val="0"/>
                <w:sz w:val="22"/>
                <w:szCs w:val="22"/>
                <w:lang w:eastAsia="en-GB"/>
                <w14:ligatures w14:val="none"/>
              </w:rPr>
              <w:t>-1.72</w:t>
            </w:r>
          </w:p>
        </w:tc>
      </w:tr>
    </w:tbl>
    <w:p w14:paraId="27F78D75" w14:textId="77777777" w:rsidR="00640056" w:rsidRDefault="00640056" w:rsidP="00640056">
      <w:pPr>
        <w:spacing w:after="0"/>
        <w:ind w:left="0"/>
        <w:jc w:val="both"/>
        <w:rPr>
          <w:rFonts w:ascii="Calibri" w:hAnsi="Calibri" w:cs="Calibri"/>
        </w:rPr>
      </w:pPr>
    </w:p>
    <w:p w14:paraId="1158AA75" w14:textId="13E1361B" w:rsidR="00ED6F95" w:rsidRDefault="00640056" w:rsidP="00DC7DBF">
      <w:pPr>
        <w:spacing w:after="0"/>
        <w:ind w:left="-113"/>
        <w:jc w:val="both"/>
        <w:rPr>
          <w:rFonts w:ascii="Calibri" w:hAnsi="Calibri" w:cs="Calibri"/>
        </w:rPr>
      </w:pPr>
      <w:r>
        <w:rPr>
          <w:rFonts w:ascii="Calibri" w:hAnsi="Calibri" w:cs="Calibri"/>
        </w:rPr>
        <w:t xml:space="preserve">          </w:t>
      </w:r>
      <w:r w:rsidR="00ED6F95">
        <w:rPr>
          <w:rFonts w:ascii="Calibri" w:hAnsi="Calibri" w:cs="Calibri"/>
        </w:rPr>
        <w:t>Figures</w:t>
      </w:r>
      <w:r w:rsidR="008A7FB6">
        <w:rPr>
          <w:rFonts w:ascii="Calibri" w:hAnsi="Calibri" w:cs="Calibri"/>
        </w:rPr>
        <w:t xml:space="preserve"> 5.4.3</w:t>
      </w:r>
      <w:r w:rsidR="00ED6F95">
        <w:rPr>
          <w:rFonts w:ascii="Calibri" w:hAnsi="Calibri" w:cs="Calibri"/>
        </w:rPr>
        <w:t xml:space="preserve"> and 5.4.4</w:t>
      </w:r>
      <w:r w:rsidR="008A7FB6">
        <w:rPr>
          <w:rFonts w:ascii="Calibri" w:hAnsi="Calibri" w:cs="Calibri"/>
        </w:rPr>
        <w:t xml:space="preserve"> below </w:t>
      </w:r>
      <w:r w:rsidR="00ED6F95">
        <w:rPr>
          <w:rFonts w:ascii="Calibri" w:hAnsi="Calibri" w:cs="Calibri"/>
        </w:rPr>
        <w:t>provide</w:t>
      </w:r>
      <w:r w:rsidR="008A7FB6">
        <w:rPr>
          <w:rFonts w:ascii="Calibri" w:hAnsi="Calibri" w:cs="Calibri"/>
        </w:rPr>
        <w:t xml:space="preserve"> an analysis of the</w:t>
      </w:r>
      <w:r w:rsidR="00ED6F95">
        <w:rPr>
          <w:rFonts w:ascii="Calibri" w:hAnsi="Calibri" w:cs="Calibri"/>
        </w:rPr>
        <w:t xml:space="preserve"> mean and median</w:t>
      </w:r>
      <w:r w:rsidR="008A7FB6">
        <w:rPr>
          <w:rFonts w:ascii="Calibri" w:hAnsi="Calibri" w:cs="Calibri"/>
        </w:rPr>
        <w:t xml:space="preserve"> ethnicity pay </w:t>
      </w:r>
    </w:p>
    <w:p w14:paraId="71C611DD" w14:textId="03369AFF" w:rsidR="00ED6F95" w:rsidRDefault="00ED6F95" w:rsidP="00640056">
      <w:pPr>
        <w:spacing w:after="0"/>
        <w:ind w:left="-113"/>
        <w:jc w:val="both"/>
        <w:rPr>
          <w:rFonts w:ascii="Calibri" w:hAnsi="Calibri" w:cs="Calibri"/>
        </w:rPr>
      </w:pPr>
      <w:r>
        <w:rPr>
          <w:rFonts w:ascii="Calibri" w:hAnsi="Calibri" w:cs="Calibri"/>
        </w:rPr>
        <w:t xml:space="preserve">       </w:t>
      </w:r>
      <w:r w:rsidR="000331DF">
        <w:rPr>
          <w:rFonts w:ascii="Calibri" w:hAnsi="Calibri" w:cs="Calibri"/>
        </w:rPr>
        <w:t xml:space="preserve">  </w:t>
      </w:r>
      <w:r w:rsidR="00640056">
        <w:rPr>
          <w:rFonts w:ascii="Calibri" w:hAnsi="Calibri" w:cs="Calibri"/>
        </w:rPr>
        <w:t xml:space="preserve"> </w:t>
      </w:r>
      <w:r w:rsidR="008A7FB6">
        <w:rPr>
          <w:rFonts w:ascii="Calibri" w:hAnsi="Calibri" w:cs="Calibri"/>
        </w:rPr>
        <w:t>gap dat</w:t>
      </w:r>
      <w:r>
        <w:rPr>
          <w:rFonts w:ascii="Calibri" w:hAnsi="Calibri" w:cs="Calibri"/>
        </w:rPr>
        <w:t xml:space="preserve">a trends </w:t>
      </w:r>
      <w:r w:rsidR="008A7FB6">
        <w:rPr>
          <w:rFonts w:ascii="Calibri" w:hAnsi="Calibri" w:cs="Calibri"/>
        </w:rPr>
        <w:t>since 2022</w:t>
      </w:r>
    </w:p>
    <w:tbl>
      <w:tblPr>
        <w:tblW w:w="9213" w:type="dxa"/>
        <w:tblInd w:w="426" w:type="dxa"/>
        <w:tblLook w:val="04A0" w:firstRow="1" w:lastRow="0" w:firstColumn="1" w:lastColumn="0" w:noHBand="0" w:noVBand="1"/>
      </w:tblPr>
      <w:tblGrid>
        <w:gridCol w:w="2954"/>
        <w:gridCol w:w="1820"/>
        <w:gridCol w:w="2020"/>
        <w:gridCol w:w="2020"/>
        <w:gridCol w:w="571"/>
      </w:tblGrid>
      <w:tr w:rsidR="00ED6F95" w:rsidRPr="00ED6F95" w14:paraId="461CE46E" w14:textId="77777777" w:rsidTr="00640056">
        <w:trPr>
          <w:trHeight w:val="290"/>
        </w:trPr>
        <w:tc>
          <w:tcPr>
            <w:tcW w:w="2954" w:type="dxa"/>
            <w:tcBorders>
              <w:top w:val="nil"/>
              <w:left w:val="nil"/>
              <w:bottom w:val="nil"/>
              <w:right w:val="nil"/>
            </w:tcBorders>
            <w:noWrap/>
            <w:vAlign w:val="bottom"/>
            <w:hideMark/>
          </w:tcPr>
          <w:p w14:paraId="56A83A67" w14:textId="074F9A5A" w:rsidR="00ED6F95" w:rsidRPr="00ED6F95" w:rsidRDefault="00ED6F95" w:rsidP="00ED6F95">
            <w:pPr>
              <w:spacing w:after="0"/>
              <w:ind w:left="0"/>
              <w:rPr>
                <w:rFonts w:ascii="Aptos Narrow" w:eastAsia="Times New Roman" w:hAnsi="Aptos Narrow" w:cs="Times New Roman"/>
                <w:b/>
                <w:bCs/>
                <w:color w:val="000000"/>
                <w:kern w:val="0"/>
                <w:sz w:val="22"/>
                <w:szCs w:val="22"/>
                <w:lang w:eastAsia="en-GB"/>
                <w14:ligatures w14:val="none"/>
              </w:rPr>
            </w:pPr>
            <w:r w:rsidRPr="00ED6F95">
              <w:rPr>
                <w:rFonts w:ascii="Aptos Narrow" w:eastAsia="Times New Roman" w:hAnsi="Aptos Narrow" w:cs="Times New Roman"/>
                <w:b/>
                <w:bCs/>
                <w:color w:val="000000"/>
                <w:kern w:val="0"/>
                <w:sz w:val="22"/>
                <w:szCs w:val="22"/>
                <w:lang w:eastAsia="en-GB"/>
                <w14:ligatures w14:val="none"/>
              </w:rPr>
              <w:t>Mean</w:t>
            </w:r>
            <w:r w:rsidR="00640056">
              <w:rPr>
                <w:rFonts w:ascii="Aptos Narrow" w:eastAsia="Times New Roman" w:hAnsi="Aptos Narrow" w:cs="Times New Roman"/>
                <w:b/>
                <w:bCs/>
                <w:color w:val="000000"/>
                <w:kern w:val="0"/>
                <w:sz w:val="22"/>
                <w:szCs w:val="22"/>
                <w:lang w:eastAsia="en-GB"/>
                <w14:ligatures w14:val="none"/>
              </w:rPr>
              <w:t xml:space="preserve"> (Figure 5.4.3)</w:t>
            </w:r>
          </w:p>
        </w:tc>
        <w:tc>
          <w:tcPr>
            <w:tcW w:w="1820" w:type="dxa"/>
            <w:tcBorders>
              <w:top w:val="nil"/>
              <w:left w:val="nil"/>
              <w:bottom w:val="nil"/>
              <w:right w:val="nil"/>
            </w:tcBorders>
            <w:noWrap/>
            <w:vAlign w:val="bottom"/>
            <w:hideMark/>
          </w:tcPr>
          <w:p w14:paraId="0ED569A6" w14:textId="77777777" w:rsidR="00ED6F95" w:rsidRPr="00ED6F95" w:rsidRDefault="00ED6F95" w:rsidP="00ED6F95">
            <w:pPr>
              <w:spacing w:after="0"/>
              <w:ind w:left="0"/>
              <w:rPr>
                <w:rFonts w:ascii="Aptos Narrow" w:eastAsia="Times New Roman" w:hAnsi="Aptos Narrow" w:cs="Times New Roman"/>
                <w:b/>
                <w:bCs/>
                <w:color w:val="000000"/>
                <w:kern w:val="0"/>
                <w:sz w:val="22"/>
                <w:szCs w:val="22"/>
                <w:lang w:eastAsia="en-GB"/>
                <w14:ligatures w14:val="none"/>
              </w:rPr>
            </w:pPr>
          </w:p>
        </w:tc>
        <w:tc>
          <w:tcPr>
            <w:tcW w:w="2020" w:type="dxa"/>
            <w:tcBorders>
              <w:top w:val="nil"/>
              <w:left w:val="nil"/>
              <w:bottom w:val="nil"/>
              <w:right w:val="nil"/>
            </w:tcBorders>
            <w:noWrap/>
            <w:vAlign w:val="bottom"/>
            <w:hideMark/>
          </w:tcPr>
          <w:p w14:paraId="2C42ABD2" w14:textId="77777777" w:rsidR="00ED6F95" w:rsidRPr="00ED6F95" w:rsidRDefault="00ED6F95" w:rsidP="00ED6F95">
            <w:pPr>
              <w:spacing w:after="0"/>
              <w:ind w:left="0"/>
              <w:rPr>
                <w:rFonts w:ascii="Times New Roman" w:eastAsia="Times New Roman" w:hAnsi="Times New Roman" w:cs="Times New Roman"/>
                <w:kern w:val="0"/>
                <w:sz w:val="20"/>
                <w:szCs w:val="20"/>
                <w:lang w:eastAsia="en-GB"/>
                <w14:ligatures w14:val="none"/>
              </w:rPr>
            </w:pPr>
          </w:p>
        </w:tc>
        <w:tc>
          <w:tcPr>
            <w:tcW w:w="2020" w:type="dxa"/>
            <w:tcBorders>
              <w:top w:val="nil"/>
              <w:left w:val="nil"/>
              <w:bottom w:val="nil"/>
              <w:right w:val="nil"/>
            </w:tcBorders>
            <w:noWrap/>
            <w:vAlign w:val="bottom"/>
            <w:hideMark/>
          </w:tcPr>
          <w:p w14:paraId="14C658B4" w14:textId="77777777" w:rsidR="00ED6F95" w:rsidRPr="00ED6F95" w:rsidRDefault="00ED6F95" w:rsidP="00ED6F95">
            <w:pPr>
              <w:spacing w:after="0"/>
              <w:ind w:left="0"/>
              <w:rPr>
                <w:rFonts w:ascii="Times New Roman" w:eastAsia="Times New Roman" w:hAnsi="Times New Roman" w:cs="Times New Roman"/>
                <w:kern w:val="0"/>
                <w:sz w:val="20"/>
                <w:szCs w:val="20"/>
                <w:lang w:eastAsia="en-GB"/>
                <w14:ligatures w14:val="none"/>
              </w:rPr>
            </w:pPr>
          </w:p>
        </w:tc>
        <w:tc>
          <w:tcPr>
            <w:tcW w:w="399" w:type="dxa"/>
            <w:tcBorders>
              <w:top w:val="nil"/>
              <w:left w:val="nil"/>
              <w:bottom w:val="nil"/>
              <w:right w:val="nil"/>
            </w:tcBorders>
            <w:noWrap/>
            <w:vAlign w:val="bottom"/>
            <w:hideMark/>
          </w:tcPr>
          <w:p w14:paraId="1845BAD3" w14:textId="77777777" w:rsidR="00ED6F95" w:rsidRPr="00ED6F95" w:rsidRDefault="00ED6F95" w:rsidP="00ED6F95">
            <w:pPr>
              <w:spacing w:after="0"/>
              <w:ind w:left="0"/>
              <w:rPr>
                <w:rFonts w:ascii="Times New Roman" w:eastAsia="Times New Roman" w:hAnsi="Times New Roman" w:cs="Times New Roman"/>
                <w:kern w:val="0"/>
                <w:sz w:val="20"/>
                <w:szCs w:val="20"/>
                <w:lang w:eastAsia="en-GB"/>
                <w14:ligatures w14:val="none"/>
              </w:rPr>
            </w:pPr>
          </w:p>
        </w:tc>
      </w:tr>
      <w:tr w:rsidR="00ED6F95" w:rsidRPr="00640056" w14:paraId="3B782016" w14:textId="77777777" w:rsidTr="00640056">
        <w:trPr>
          <w:trHeight w:val="290"/>
        </w:trPr>
        <w:tc>
          <w:tcPr>
            <w:tcW w:w="2954"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5D741724" w14:textId="77777777" w:rsidR="00ED6F95" w:rsidRPr="00640056" w:rsidRDefault="00ED6F95" w:rsidP="00ED6F95">
            <w:pPr>
              <w:spacing w:after="0"/>
              <w:ind w:left="0"/>
              <w:rPr>
                <w:rFonts w:ascii="Calibri" w:eastAsia="Times New Roman" w:hAnsi="Calibri" w:cs="Calibri"/>
                <w:b/>
                <w:bCs/>
                <w:color w:val="FFFFFF"/>
                <w:kern w:val="0"/>
                <w:sz w:val="20"/>
                <w:szCs w:val="20"/>
                <w:lang w:eastAsia="en-GB"/>
                <w14:ligatures w14:val="none"/>
              </w:rPr>
            </w:pPr>
            <w:r w:rsidRPr="00640056">
              <w:rPr>
                <w:rFonts w:ascii="Calibri" w:eastAsia="Times New Roman" w:hAnsi="Calibri" w:cs="Calibri"/>
                <w:b/>
                <w:bCs/>
                <w:color w:val="FFFFFF"/>
                <w:kern w:val="0"/>
                <w:sz w:val="20"/>
                <w:szCs w:val="20"/>
                <w:lang w:eastAsia="en-GB"/>
                <w14:ligatures w14:val="none"/>
              </w:rPr>
              <w:t>Year</w:t>
            </w:r>
          </w:p>
        </w:tc>
        <w:tc>
          <w:tcPr>
            <w:tcW w:w="1820" w:type="dxa"/>
            <w:tcBorders>
              <w:top w:val="single" w:sz="4" w:space="0" w:color="auto"/>
              <w:left w:val="nil"/>
              <w:bottom w:val="single" w:sz="4" w:space="0" w:color="auto"/>
              <w:right w:val="single" w:sz="4" w:space="0" w:color="auto"/>
            </w:tcBorders>
            <w:shd w:val="clear" w:color="000000" w:fill="156082"/>
            <w:noWrap/>
            <w:vAlign w:val="bottom"/>
            <w:hideMark/>
          </w:tcPr>
          <w:p w14:paraId="49A8AF59" w14:textId="77777777" w:rsidR="00ED6F95" w:rsidRPr="00640056" w:rsidRDefault="00ED6F95" w:rsidP="00ED6F95">
            <w:pPr>
              <w:spacing w:after="0"/>
              <w:ind w:left="0"/>
              <w:rPr>
                <w:rFonts w:ascii="Calibri" w:eastAsia="Times New Roman" w:hAnsi="Calibri" w:cs="Calibri"/>
                <w:b/>
                <w:bCs/>
                <w:color w:val="FFFFFF"/>
                <w:kern w:val="0"/>
                <w:sz w:val="20"/>
                <w:szCs w:val="20"/>
                <w:lang w:eastAsia="en-GB"/>
                <w14:ligatures w14:val="none"/>
              </w:rPr>
            </w:pPr>
            <w:r w:rsidRPr="00640056">
              <w:rPr>
                <w:rFonts w:ascii="Calibri" w:eastAsia="Times New Roman" w:hAnsi="Calibri" w:cs="Calibri"/>
                <w:b/>
                <w:bCs/>
                <w:color w:val="FFFFFF"/>
                <w:kern w:val="0"/>
                <w:sz w:val="20"/>
                <w:szCs w:val="20"/>
                <w:lang w:eastAsia="en-GB"/>
                <w14:ligatures w14:val="none"/>
              </w:rPr>
              <w:t>White (£)</w:t>
            </w:r>
          </w:p>
        </w:tc>
        <w:tc>
          <w:tcPr>
            <w:tcW w:w="2020" w:type="dxa"/>
            <w:tcBorders>
              <w:top w:val="single" w:sz="4" w:space="0" w:color="auto"/>
              <w:left w:val="nil"/>
              <w:bottom w:val="single" w:sz="4" w:space="0" w:color="auto"/>
              <w:right w:val="single" w:sz="4" w:space="0" w:color="auto"/>
            </w:tcBorders>
            <w:shd w:val="clear" w:color="000000" w:fill="156082"/>
            <w:noWrap/>
            <w:vAlign w:val="bottom"/>
            <w:hideMark/>
          </w:tcPr>
          <w:p w14:paraId="675BB90E" w14:textId="77777777" w:rsidR="00ED6F95" w:rsidRPr="00640056" w:rsidRDefault="00ED6F95" w:rsidP="00ED6F95">
            <w:pPr>
              <w:spacing w:after="0"/>
              <w:ind w:left="0"/>
              <w:rPr>
                <w:rFonts w:ascii="Calibri" w:eastAsia="Times New Roman" w:hAnsi="Calibri" w:cs="Calibri"/>
                <w:b/>
                <w:bCs/>
                <w:color w:val="FFFFFF"/>
                <w:kern w:val="0"/>
                <w:sz w:val="20"/>
                <w:szCs w:val="20"/>
                <w:lang w:eastAsia="en-GB"/>
                <w14:ligatures w14:val="none"/>
              </w:rPr>
            </w:pPr>
            <w:r w:rsidRPr="00640056">
              <w:rPr>
                <w:rFonts w:ascii="Calibri" w:eastAsia="Times New Roman" w:hAnsi="Calibri" w:cs="Calibri"/>
                <w:b/>
                <w:bCs/>
                <w:color w:val="FFFFFF"/>
                <w:kern w:val="0"/>
                <w:sz w:val="20"/>
                <w:szCs w:val="20"/>
                <w:lang w:eastAsia="en-GB"/>
                <w14:ligatures w14:val="none"/>
              </w:rPr>
              <w:t>BAME (£)</w:t>
            </w:r>
          </w:p>
        </w:tc>
        <w:tc>
          <w:tcPr>
            <w:tcW w:w="2020" w:type="dxa"/>
            <w:tcBorders>
              <w:top w:val="single" w:sz="4" w:space="0" w:color="auto"/>
              <w:left w:val="nil"/>
              <w:bottom w:val="single" w:sz="4" w:space="0" w:color="auto"/>
              <w:right w:val="single" w:sz="4" w:space="0" w:color="auto"/>
            </w:tcBorders>
            <w:shd w:val="clear" w:color="000000" w:fill="156082"/>
            <w:noWrap/>
            <w:vAlign w:val="bottom"/>
            <w:hideMark/>
          </w:tcPr>
          <w:p w14:paraId="44D7321E" w14:textId="77777777" w:rsidR="00ED6F95" w:rsidRPr="00640056" w:rsidRDefault="00ED6F95" w:rsidP="00ED6F95">
            <w:pPr>
              <w:spacing w:after="0"/>
              <w:ind w:left="0"/>
              <w:rPr>
                <w:rFonts w:ascii="Calibri" w:eastAsia="Times New Roman" w:hAnsi="Calibri" w:cs="Calibri"/>
                <w:b/>
                <w:bCs/>
                <w:color w:val="FFFFFF"/>
                <w:kern w:val="0"/>
                <w:sz w:val="20"/>
                <w:szCs w:val="20"/>
                <w:lang w:eastAsia="en-GB"/>
                <w14:ligatures w14:val="none"/>
              </w:rPr>
            </w:pPr>
            <w:r w:rsidRPr="00640056">
              <w:rPr>
                <w:rFonts w:ascii="Calibri" w:eastAsia="Times New Roman" w:hAnsi="Calibri" w:cs="Calibri"/>
                <w:b/>
                <w:bCs/>
                <w:color w:val="FFFFFF"/>
                <w:kern w:val="0"/>
                <w:sz w:val="20"/>
                <w:szCs w:val="20"/>
                <w:lang w:eastAsia="en-GB"/>
                <w14:ligatures w14:val="none"/>
              </w:rPr>
              <w:t>Difference</w:t>
            </w:r>
          </w:p>
        </w:tc>
        <w:tc>
          <w:tcPr>
            <w:tcW w:w="399" w:type="dxa"/>
            <w:tcBorders>
              <w:top w:val="single" w:sz="4" w:space="0" w:color="auto"/>
              <w:left w:val="nil"/>
              <w:bottom w:val="single" w:sz="4" w:space="0" w:color="auto"/>
              <w:right w:val="single" w:sz="4" w:space="0" w:color="auto"/>
            </w:tcBorders>
            <w:shd w:val="clear" w:color="000000" w:fill="156082"/>
            <w:noWrap/>
            <w:vAlign w:val="bottom"/>
            <w:hideMark/>
          </w:tcPr>
          <w:p w14:paraId="0EAA6F2F" w14:textId="77777777" w:rsidR="00ED6F95" w:rsidRPr="00640056" w:rsidRDefault="00ED6F95" w:rsidP="00ED6F95">
            <w:pPr>
              <w:spacing w:after="0"/>
              <w:ind w:left="0"/>
              <w:rPr>
                <w:rFonts w:ascii="Calibri" w:eastAsia="Times New Roman" w:hAnsi="Calibri" w:cs="Calibri"/>
                <w:b/>
                <w:bCs/>
                <w:color w:val="FFFFFF"/>
                <w:kern w:val="0"/>
                <w:sz w:val="20"/>
                <w:szCs w:val="20"/>
                <w:lang w:eastAsia="en-GB"/>
                <w14:ligatures w14:val="none"/>
              </w:rPr>
            </w:pPr>
            <w:r w:rsidRPr="00640056">
              <w:rPr>
                <w:rFonts w:ascii="Calibri" w:eastAsia="Times New Roman" w:hAnsi="Calibri" w:cs="Calibri"/>
                <w:b/>
                <w:bCs/>
                <w:color w:val="FFFFFF"/>
                <w:kern w:val="0"/>
                <w:sz w:val="20"/>
                <w:szCs w:val="20"/>
                <w:lang w:eastAsia="en-GB"/>
                <w14:ligatures w14:val="none"/>
              </w:rPr>
              <w:t>Pay Gap %</w:t>
            </w:r>
          </w:p>
        </w:tc>
      </w:tr>
      <w:tr w:rsidR="00ED6F95" w:rsidRPr="00640056" w14:paraId="48C9ECFB" w14:textId="77777777" w:rsidTr="00640056">
        <w:trPr>
          <w:trHeight w:val="290"/>
        </w:trPr>
        <w:tc>
          <w:tcPr>
            <w:tcW w:w="2954" w:type="dxa"/>
            <w:tcBorders>
              <w:top w:val="nil"/>
              <w:left w:val="single" w:sz="4" w:space="0" w:color="auto"/>
              <w:bottom w:val="single" w:sz="4" w:space="0" w:color="auto"/>
              <w:right w:val="single" w:sz="4" w:space="0" w:color="auto"/>
            </w:tcBorders>
            <w:noWrap/>
            <w:vAlign w:val="bottom"/>
            <w:hideMark/>
          </w:tcPr>
          <w:p w14:paraId="0A73C6CF" w14:textId="77777777" w:rsidR="00ED6F95" w:rsidRPr="00640056" w:rsidRDefault="00ED6F95" w:rsidP="00ED6F95">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2022/23</w:t>
            </w:r>
          </w:p>
        </w:tc>
        <w:tc>
          <w:tcPr>
            <w:tcW w:w="1820" w:type="dxa"/>
            <w:tcBorders>
              <w:top w:val="nil"/>
              <w:left w:val="nil"/>
              <w:bottom w:val="single" w:sz="4" w:space="0" w:color="auto"/>
              <w:right w:val="single" w:sz="4" w:space="0" w:color="auto"/>
            </w:tcBorders>
            <w:noWrap/>
            <w:vAlign w:val="bottom"/>
            <w:hideMark/>
          </w:tcPr>
          <w:p w14:paraId="169EAC5F"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19.22</w:t>
            </w:r>
          </w:p>
        </w:tc>
        <w:tc>
          <w:tcPr>
            <w:tcW w:w="2020" w:type="dxa"/>
            <w:tcBorders>
              <w:top w:val="nil"/>
              <w:left w:val="nil"/>
              <w:bottom w:val="single" w:sz="4" w:space="0" w:color="auto"/>
              <w:right w:val="single" w:sz="4" w:space="0" w:color="auto"/>
            </w:tcBorders>
            <w:noWrap/>
            <w:vAlign w:val="bottom"/>
            <w:hideMark/>
          </w:tcPr>
          <w:p w14:paraId="604782B0"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20.45</w:t>
            </w:r>
          </w:p>
        </w:tc>
        <w:tc>
          <w:tcPr>
            <w:tcW w:w="2020" w:type="dxa"/>
            <w:tcBorders>
              <w:top w:val="nil"/>
              <w:left w:val="nil"/>
              <w:bottom w:val="single" w:sz="4" w:space="0" w:color="auto"/>
              <w:right w:val="single" w:sz="4" w:space="0" w:color="auto"/>
            </w:tcBorders>
            <w:noWrap/>
            <w:vAlign w:val="bottom"/>
            <w:hideMark/>
          </w:tcPr>
          <w:p w14:paraId="326D9366"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-1.23</w:t>
            </w:r>
          </w:p>
        </w:tc>
        <w:tc>
          <w:tcPr>
            <w:tcW w:w="399" w:type="dxa"/>
            <w:tcBorders>
              <w:top w:val="nil"/>
              <w:left w:val="nil"/>
              <w:bottom w:val="single" w:sz="4" w:space="0" w:color="auto"/>
              <w:right w:val="single" w:sz="4" w:space="0" w:color="auto"/>
            </w:tcBorders>
            <w:noWrap/>
            <w:vAlign w:val="bottom"/>
            <w:hideMark/>
          </w:tcPr>
          <w:p w14:paraId="30BC7464"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-6.40</w:t>
            </w:r>
          </w:p>
        </w:tc>
      </w:tr>
      <w:tr w:rsidR="00ED6F95" w:rsidRPr="00640056" w14:paraId="00E52B23" w14:textId="77777777" w:rsidTr="00640056">
        <w:trPr>
          <w:trHeight w:val="290"/>
        </w:trPr>
        <w:tc>
          <w:tcPr>
            <w:tcW w:w="2954" w:type="dxa"/>
            <w:tcBorders>
              <w:top w:val="nil"/>
              <w:left w:val="single" w:sz="4" w:space="0" w:color="auto"/>
              <w:bottom w:val="single" w:sz="4" w:space="0" w:color="auto"/>
              <w:right w:val="single" w:sz="4" w:space="0" w:color="auto"/>
            </w:tcBorders>
            <w:noWrap/>
            <w:vAlign w:val="bottom"/>
            <w:hideMark/>
          </w:tcPr>
          <w:p w14:paraId="05952C0F" w14:textId="77777777" w:rsidR="00ED6F95" w:rsidRPr="00640056" w:rsidRDefault="00ED6F95" w:rsidP="00ED6F95">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2023/24</w:t>
            </w:r>
          </w:p>
        </w:tc>
        <w:tc>
          <w:tcPr>
            <w:tcW w:w="1820" w:type="dxa"/>
            <w:tcBorders>
              <w:top w:val="nil"/>
              <w:left w:val="nil"/>
              <w:bottom w:val="single" w:sz="4" w:space="0" w:color="auto"/>
              <w:right w:val="single" w:sz="4" w:space="0" w:color="auto"/>
            </w:tcBorders>
            <w:noWrap/>
            <w:vAlign w:val="bottom"/>
            <w:hideMark/>
          </w:tcPr>
          <w:p w14:paraId="46C7EAE1"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20.33</w:t>
            </w:r>
          </w:p>
        </w:tc>
        <w:tc>
          <w:tcPr>
            <w:tcW w:w="2020" w:type="dxa"/>
            <w:tcBorders>
              <w:top w:val="nil"/>
              <w:left w:val="nil"/>
              <w:bottom w:val="single" w:sz="4" w:space="0" w:color="auto"/>
              <w:right w:val="single" w:sz="4" w:space="0" w:color="auto"/>
            </w:tcBorders>
            <w:noWrap/>
            <w:vAlign w:val="bottom"/>
            <w:hideMark/>
          </w:tcPr>
          <w:p w14:paraId="7E8A92C0"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21.45</w:t>
            </w:r>
          </w:p>
        </w:tc>
        <w:tc>
          <w:tcPr>
            <w:tcW w:w="2020" w:type="dxa"/>
            <w:tcBorders>
              <w:top w:val="nil"/>
              <w:left w:val="nil"/>
              <w:bottom w:val="single" w:sz="4" w:space="0" w:color="auto"/>
              <w:right w:val="single" w:sz="4" w:space="0" w:color="auto"/>
            </w:tcBorders>
            <w:noWrap/>
            <w:vAlign w:val="bottom"/>
            <w:hideMark/>
          </w:tcPr>
          <w:p w14:paraId="252CC7DD"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-1.12</w:t>
            </w:r>
          </w:p>
        </w:tc>
        <w:tc>
          <w:tcPr>
            <w:tcW w:w="399" w:type="dxa"/>
            <w:tcBorders>
              <w:top w:val="nil"/>
              <w:left w:val="nil"/>
              <w:bottom w:val="single" w:sz="4" w:space="0" w:color="auto"/>
              <w:right w:val="single" w:sz="4" w:space="0" w:color="auto"/>
            </w:tcBorders>
            <w:noWrap/>
            <w:vAlign w:val="bottom"/>
            <w:hideMark/>
          </w:tcPr>
          <w:p w14:paraId="41FC235B"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-5.51</w:t>
            </w:r>
          </w:p>
        </w:tc>
      </w:tr>
      <w:tr w:rsidR="00ED6F95" w:rsidRPr="00640056" w14:paraId="764A66DC" w14:textId="77777777" w:rsidTr="00640056">
        <w:trPr>
          <w:trHeight w:val="290"/>
        </w:trPr>
        <w:tc>
          <w:tcPr>
            <w:tcW w:w="2954" w:type="dxa"/>
            <w:tcBorders>
              <w:top w:val="nil"/>
              <w:left w:val="single" w:sz="4" w:space="0" w:color="auto"/>
              <w:bottom w:val="single" w:sz="4" w:space="0" w:color="auto"/>
              <w:right w:val="single" w:sz="4" w:space="0" w:color="auto"/>
            </w:tcBorders>
            <w:noWrap/>
            <w:vAlign w:val="bottom"/>
            <w:hideMark/>
          </w:tcPr>
          <w:p w14:paraId="72B47F5B" w14:textId="77777777" w:rsidR="00ED6F95" w:rsidRPr="00640056" w:rsidRDefault="00ED6F95" w:rsidP="00ED6F95">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2024/25</w:t>
            </w:r>
          </w:p>
        </w:tc>
        <w:tc>
          <w:tcPr>
            <w:tcW w:w="1820" w:type="dxa"/>
            <w:tcBorders>
              <w:top w:val="nil"/>
              <w:left w:val="nil"/>
              <w:bottom w:val="single" w:sz="4" w:space="0" w:color="auto"/>
              <w:right w:val="single" w:sz="4" w:space="0" w:color="auto"/>
            </w:tcBorders>
            <w:noWrap/>
            <w:vAlign w:val="bottom"/>
            <w:hideMark/>
          </w:tcPr>
          <w:p w14:paraId="1186B542"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21.74</w:t>
            </w:r>
          </w:p>
        </w:tc>
        <w:tc>
          <w:tcPr>
            <w:tcW w:w="2020" w:type="dxa"/>
            <w:tcBorders>
              <w:top w:val="nil"/>
              <w:left w:val="nil"/>
              <w:bottom w:val="single" w:sz="4" w:space="0" w:color="auto"/>
              <w:right w:val="single" w:sz="4" w:space="0" w:color="auto"/>
            </w:tcBorders>
            <w:noWrap/>
            <w:vAlign w:val="bottom"/>
            <w:hideMark/>
          </w:tcPr>
          <w:p w14:paraId="77E452E8"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22.61</w:t>
            </w:r>
          </w:p>
        </w:tc>
        <w:tc>
          <w:tcPr>
            <w:tcW w:w="2020" w:type="dxa"/>
            <w:tcBorders>
              <w:top w:val="nil"/>
              <w:left w:val="nil"/>
              <w:bottom w:val="single" w:sz="4" w:space="0" w:color="auto"/>
              <w:right w:val="single" w:sz="4" w:space="0" w:color="auto"/>
            </w:tcBorders>
            <w:noWrap/>
            <w:vAlign w:val="bottom"/>
            <w:hideMark/>
          </w:tcPr>
          <w:p w14:paraId="0D4D7563"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-0.87</w:t>
            </w:r>
          </w:p>
        </w:tc>
        <w:tc>
          <w:tcPr>
            <w:tcW w:w="399" w:type="dxa"/>
            <w:tcBorders>
              <w:top w:val="nil"/>
              <w:left w:val="nil"/>
              <w:bottom w:val="single" w:sz="4" w:space="0" w:color="auto"/>
              <w:right w:val="single" w:sz="4" w:space="0" w:color="auto"/>
            </w:tcBorders>
            <w:noWrap/>
            <w:vAlign w:val="bottom"/>
            <w:hideMark/>
          </w:tcPr>
          <w:p w14:paraId="6F9D080A"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-4.00</w:t>
            </w:r>
          </w:p>
        </w:tc>
      </w:tr>
    </w:tbl>
    <w:p w14:paraId="11B82786" w14:textId="11BAF0A3" w:rsidR="00ED6F95" w:rsidRPr="00640056" w:rsidRDefault="00ED6F95" w:rsidP="00ED6F95">
      <w:pPr>
        <w:spacing w:after="0"/>
        <w:ind w:left="0"/>
        <w:jc w:val="both"/>
        <w:rPr>
          <w:rFonts w:ascii="Calibri" w:hAnsi="Calibri" w:cs="Calibri"/>
          <w:sz w:val="20"/>
          <w:szCs w:val="20"/>
        </w:rPr>
      </w:pPr>
    </w:p>
    <w:tbl>
      <w:tblPr>
        <w:tblW w:w="9422" w:type="dxa"/>
        <w:tblInd w:w="426" w:type="dxa"/>
        <w:tblLook w:val="04A0" w:firstRow="1" w:lastRow="0" w:firstColumn="1" w:lastColumn="0" w:noHBand="0" w:noVBand="1"/>
      </w:tblPr>
      <w:tblGrid>
        <w:gridCol w:w="2954"/>
        <w:gridCol w:w="1820"/>
        <w:gridCol w:w="2020"/>
        <w:gridCol w:w="2020"/>
        <w:gridCol w:w="608"/>
      </w:tblGrid>
      <w:tr w:rsidR="00ED6F95" w:rsidRPr="00640056" w14:paraId="6752A53C" w14:textId="77777777" w:rsidTr="00640056">
        <w:trPr>
          <w:trHeight w:val="290"/>
        </w:trPr>
        <w:tc>
          <w:tcPr>
            <w:tcW w:w="2954" w:type="dxa"/>
            <w:tcBorders>
              <w:top w:val="nil"/>
              <w:left w:val="nil"/>
              <w:bottom w:val="nil"/>
              <w:right w:val="nil"/>
            </w:tcBorders>
            <w:noWrap/>
            <w:vAlign w:val="bottom"/>
            <w:hideMark/>
          </w:tcPr>
          <w:p w14:paraId="60D0F7CD" w14:textId="7BDEEB21" w:rsidR="00ED6F95" w:rsidRPr="00640056" w:rsidRDefault="00ED6F95" w:rsidP="00ED6F95">
            <w:pPr>
              <w:spacing w:after="0"/>
              <w:ind w:left="0"/>
              <w:rPr>
                <w:rFonts w:ascii="Calibri" w:eastAsia="Times New Roman" w:hAnsi="Calibri" w:cs="Calibri"/>
                <w:b/>
                <w:bCs/>
                <w:color w:val="000000"/>
                <w:kern w:val="0"/>
                <w:sz w:val="20"/>
                <w:szCs w:val="20"/>
                <w:lang w:eastAsia="en-GB"/>
                <w14:ligatures w14:val="none"/>
              </w:rPr>
            </w:pPr>
            <w:r w:rsidRPr="00640056">
              <w:rPr>
                <w:rFonts w:ascii="Calibri" w:eastAsia="Times New Roman" w:hAnsi="Calibri" w:cs="Calibri"/>
                <w:b/>
                <w:bCs/>
                <w:color w:val="000000"/>
                <w:kern w:val="0"/>
                <w:sz w:val="20"/>
                <w:szCs w:val="20"/>
                <w:lang w:eastAsia="en-GB"/>
                <w14:ligatures w14:val="none"/>
              </w:rPr>
              <w:t>Median</w:t>
            </w:r>
            <w:r w:rsidR="00640056" w:rsidRPr="00640056">
              <w:rPr>
                <w:rFonts w:ascii="Calibri" w:eastAsia="Times New Roman" w:hAnsi="Calibri" w:cs="Calibri"/>
                <w:b/>
                <w:bCs/>
                <w:color w:val="000000"/>
                <w:kern w:val="0"/>
                <w:sz w:val="20"/>
                <w:szCs w:val="20"/>
                <w:lang w:eastAsia="en-GB"/>
                <w14:ligatures w14:val="none"/>
              </w:rPr>
              <w:t xml:space="preserve"> (Figure 5.4.4)</w:t>
            </w:r>
          </w:p>
        </w:tc>
        <w:tc>
          <w:tcPr>
            <w:tcW w:w="1820" w:type="dxa"/>
            <w:tcBorders>
              <w:top w:val="nil"/>
              <w:left w:val="nil"/>
              <w:bottom w:val="nil"/>
              <w:right w:val="nil"/>
            </w:tcBorders>
            <w:noWrap/>
            <w:vAlign w:val="bottom"/>
            <w:hideMark/>
          </w:tcPr>
          <w:p w14:paraId="4BBF4F2F" w14:textId="77777777" w:rsidR="00ED6F95" w:rsidRPr="00640056" w:rsidRDefault="00ED6F95" w:rsidP="00ED6F95">
            <w:pPr>
              <w:spacing w:after="0"/>
              <w:ind w:left="0"/>
              <w:rPr>
                <w:rFonts w:ascii="Calibri" w:eastAsia="Times New Roman" w:hAnsi="Calibri" w:cs="Calibri"/>
                <w:b/>
                <w:bCs/>
                <w:color w:val="000000"/>
                <w:kern w:val="0"/>
                <w:sz w:val="20"/>
                <w:szCs w:val="20"/>
                <w:lang w:eastAsia="en-GB"/>
                <w14:ligatures w14:val="none"/>
              </w:rPr>
            </w:pPr>
          </w:p>
        </w:tc>
        <w:tc>
          <w:tcPr>
            <w:tcW w:w="2020" w:type="dxa"/>
            <w:tcBorders>
              <w:top w:val="nil"/>
              <w:left w:val="nil"/>
              <w:bottom w:val="nil"/>
              <w:right w:val="nil"/>
            </w:tcBorders>
            <w:noWrap/>
            <w:vAlign w:val="bottom"/>
            <w:hideMark/>
          </w:tcPr>
          <w:p w14:paraId="054DA481" w14:textId="77777777" w:rsidR="00ED6F95" w:rsidRPr="00640056" w:rsidRDefault="00ED6F95" w:rsidP="00ED6F95">
            <w:pPr>
              <w:spacing w:after="0"/>
              <w:ind w:left="0"/>
              <w:rPr>
                <w:rFonts w:ascii="Calibri" w:eastAsia="Times New Roman" w:hAnsi="Calibri" w:cs="Calibri"/>
                <w:kern w:val="0"/>
                <w:sz w:val="20"/>
                <w:szCs w:val="20"/>
                <w:lang w:eastAsia="en-GB"/>
                <w14:ligatures w14:val="none"/>
              </w:rPr>
            </w:pPr>
          </w:p>
        </w:tc>
        <w:tc>
          <w:tcPr>
            <w:tcW w:w="2020" w:type="dxa"/>
            <w:tcBorders>
              <w:top w:val="nil"/>
              <w:left w:val="nil"/>
              <w:bottom w:val="nil"/>
              <w:right w:val="nil"/>
            </w:tcBorders>
            <w:noWrap/>
            <w:vAlign w:val="bottom"/>
            <w:hideMark/>
          </w:tcPr>
          <w:p w14:paraId="0EACA7F5" w14:textId="77777777" w:rsidR="00ED6F95" w:rsidRPr="00640056" w:rsidRDefault="00ED6F95" w:rsidP="00ED6F95">
            <w:pPr>
              <w:spacing w:after="0"/>
              <w:ind w:left="0"/>
              <w:rPr>
                <w:rFonts w:ascii="Calibri" w:eastAsia="Times New Roman" w:hAnsi="Calibri" w:cs="Calibri"/>
                <w:kern w:val="0"/>
                <w:sz w:val="20"/>
                <w:szCs w:val="20"/>
                <w:lang w:eastAsia="en-GB"/>
                <w14:ligatures w14:val="none"/>
              </w:rPr>
            </w:pPr>
          </w:p>
        </w:tc>
        <w:tc>
          <w:tcPr>
            <w:tcW w:w="608" w:type="dxa"/>
            <w:tcBorders>
              <w:top w:val="nil"/>
              <w:left w:val="nil"/>
              <w:bottom w:val="nil"/>
              <w:right w:val="nil"/>
            </w:tcBorders>
            <w:noWrap/>
            <w:vAlign w:val="bottom"/>
            <w:hideMark/>
          </w:tcPr>
          <w:p w14:paraId="10B4133C" w14:textId="77777777" w:rsidR="00ED6F95" w:rsidRPr="00640056" w:rsidRDefault="00ED6F95" w:rsidP="00ED6F95">
            <w:pPr>
              <w:spacing w:after="0"/>
              <w:ind w:left="0"/>
              <w:rPr>
                <w:rFonts w:ascii="Calibri" w:eastAsia="Times New Roman" w:hAnsi="Calibri" w:cs="Calibri"/>
                <w:kern w:val="0"/>
                <w:sz w:val="20"/>
                <w:szCs w:val="20"/>
                <w:lang w:eastAsia="en-GB"/>
                <w14:ligatures w14:val="none"/>
              </w:rPr>
            </w:pPr>
          </w:p>
        </w:tc>
      </w:tr>
      <w:tr w:rsidR="00ED6F95" w:rsidRPr="00640056" w14:paraId="5E470BB1" w14:textId="77777777" w:rsidTr="00640056">
        <w:trPr>
          <w:trHeight w:val="290"/>
        </w:trPr>
        <w:tc>
          <w:tcPr>
            <w:tcW w:w="2954"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6899D0BA" w14:textId="77777777" w:rsidR="00ED6F95" w:rsidRPr="00640056" w:rsidRDefault="00ED6F95" w:rsidP="00ED6F95">
            <w:pPr>
              <w:spacing w:after="0"/>
              <w:ind w:left="0"/>
              <w:rPr>
                <w:rFonts w:ascii="Calibri" w:eastAsia="Times New Roman" w:hAnsi="Calibri" w:cs="Calibri"/>
                <w:b/>
                <w:bCs/>
                <w:color w:val="FFFFFF"/>
                <w:kern w:val="0"/>
                <w:sz w:val="20"/>
                <w:szCs w:val="20"/>
                <w:lang w:eastAsia="en-GB"/>
                <w14:ligatures w14:val="none"/>
              </w:rPr>
            </w:pPr>
            <w:r w:rsidRPr="00640056">
              <w:rPr>
                <w:rFonts w:ascii="Calibri" w:eastAsia="Times New Roman" w:hAnsi="Calibri" w:cs="Calibri"/>
                <w:b/>
                <w:bCs/>
                <w:color w:val="FFFFFF"/>
                <w:kern w:val="0"/>
                <w:sz w:val="20"/>
                <w:szCs w:val="20"/>
                <w:lang w:eastAsia="en-GB"/>
                <w14:ligatures w14:val="none"/>
              </w:rPr>
              <w:t>Year</w:t>
            </w:r>
          </w:p>
        </w:tc>
        <w:tc>
          <w:tcPr>
            <w:tcW w:w="1820" w:type="dxa"/>
            <w:tcBorders>
              <w:top w:val="single" w:sz="4" w:space="0" w:color="auto"/>
              <w:left w:val="nil"/>
              <w:bottom w:val="single" w:sz="4" w:space="0" w:color="auto"/>
              <w:right w:val="single" w:sz="4" w:space="0" w:color="auto"/>
            </w:tcBorders>
            <w:shd w:val="clear" w:color="000000" w:fill="156082"/>
            <w:noWrap/>
            <w:vAlign w:val="bottom"/>
            <w:hideMark/>
          </w:tcPr>
          <w:p w14:paraId="6FE958EB" w14:textId="77777777" w:rsidR="00ED6F95" w:rsidRPr="00640056" w:rsidRDefault="00ED6F95" w:rsidP="00ED6F95">
            <w:pPr>
              <w:spacing w:after="0"/>
              <w:ind w:left="0"/>
              <w:rPr>
                <w:rFonts w:ascii="Calibri" w:eastAsia="Times New Roman" w:hAnsi="Calibri" w:cs="Calibri"/>
                <w:b/>
                <w:bCs/>
                <w:color w:val="FFFFFF"/>
                <w:kern w:val="0"/>
                <w:sz w:val="20"/>
                <w:szCs w:val="20"/>
                <w:lang w:eastAsia="en-GB"/>
                <w14:ligatures w14:val="none"/>
              </w:rPr>
            </w:pPr>
            <w:r w:rsidRPr="00640056">
              <w:rPr>
                <w:rFonts w:ascii="Calibri" w:eastAsia="Times New Roman" w:hAnsi="Calibri" w:cs="Calibri"/>
                <w:b/>
                <w:bCs/>
                <w:color w:val="FFFFFF"/>
                <w:kern w:val="0"/>
                <w:sz w:val="20"/>
                <w:szCs w:val="20"/>
                <w:lang w:eastAsia="en-GB"/>
                <w14:ligatures w14:val="none"/>
              </w:rPr>
              <w:t>White (£)</w:t>
            </w:r>
          </w:p>
        </w:tc>
        <w:tc>
          <w:tcPr>
            <w:tcW w:w="2020" w:type="dxa"/>
            <w:tcBorders>
              <w:top w:val="single" w:sz="4" w:space="0" w:color="auto"/>
              <w:left w:val="nil"/>
              <w:bottom w:val="single" w:sz="4" w:space="0" w:color="auto"/>
              <w:right w:val="single" w:sz="4" w:space="0" w:color="auto"/>
            </w:tcBorders>
            <w:shd w:val="clear" w:color="000000" w:fill="156082"/>
            <w:noWrap/>
            <w:vAlign w:val="bottom"/>
            <w:hideMark/>
          </w:tcPr>
          <w:p w14:paraId="6605180B" w14:textId="092831F3" w:rsidR="00ED6F95" w:rsidRPr="00640056" w:rsidRDefault="00ED6F95" w:rsidP="00ED6F95">
            <w:pPr>
              <w:spacing w:after="0"/>
              <w:ind w:left="0"/>
              <w:rPr>
                <w:rFonts w:ascii="Calibri" w:eastAsia="Times New Roman" w:hAnsi="Calibri" w:cs="Calibri"/>
                <w:b/>
                <w:bCs/>
                <w:color w:val="FFFFFF"/>
                <w:kern w:val="0"/>
                <w:sz w:val="20"/>
                <w:szCs w:val="20"/>
                <w:lang w:eastAsia="en-GB"/>
                <w14:ligatures w14:val="none"/>
              </w:rPr>
            </w:pPr>
            <w:r w:rsidRPr="00640056">
              <w:rPr>
                <w:rFonts w:ascii="Calibri" w:eastAsia="Times New Roman" w:hAnsi="Calibri" w:cs="Calibri"/>
                <w:b/>
                <w:bCs/>
                <w:color w:val="FFFFFF"/>
                <w:kern w:val="0"/>
                <w:sz w:val="20"/>
                <w:szCs w:val="20"/>
                <w:lang w:eastAsia="en-GB"/>
                <w14:ligatures w14:val="none"/>
              </w:rPr>
              <w:t>BME (£)</w:t>
            </w:r>
          </w:p>
        </w:tc>
        <w:tc>
          <w:tcPr>
            <w:tcW w:w="2020" w:type="dxa"/>
            <w:tcBorders>
              <w:top w:val="single" w:sz="4" w:space="0" w:color="auto"/>
              <w:left w:val="nil"/>
              <w:bottom w:val="single" w:sz="4" w:space="0" w:color="auto"/>
              <w:right w:val="single" w:sz="4" w:space="0" w:color="auto"/>
            </w:tcBorders>
            <w:shd w:val="clear" w:color="000000" w:fill="156082"/>
            <w:noWrap/>
            <w:vAlign w:val="bottom"/>
            <w:hideMark/>
          </w:tcPr>
          <w:p w14:paraId="6C7854C1" w14:textId="77777777" w:rsidR="00ED6F95" w:rsidRPr="00640056" w:rsidRDefault="00ED6F95" w:rsidP="00ED6F95">
            <w:pPr>
              <w:spacing w:after="0"/>
              <w:ind w:left="0"/>
              <w:rPr>
                <w:rFonts w:ascii="Calibri" w:eastAsia="Times New Roman" w:hAnsi="Calibri" w:cs="Calibri"/>
                <w:b/>
                <w:bCs/>
                <w:color w:val="FFFFFF"/>
                <w:kern w:val="0"/>
                <w:sz w:val="20"/>
                <w:szCs w:val="20"/>
                <w:lang w:eastAsia="en-GB"/>
                <w14:ligatures w14:val="none"/>
              </w:rPr>
            </w:pPr>
            <w:r w:rsidRPr="00640056">
              <w:rPr>
                <w:rFonts w:ascii="Calibri" w:eastAsia="Times New Roman" w:hAnsi="Calibri" w:cs="Calibri"/>
                <w:b/>
                <w:bCs/>
                <w:color w:val="FFFFFF"/>
                <w:kern w:val="0"/>
                <w:sz w:val="20"/>
                <w:szCs w:val="20"/>
                <w:lang w:eastAsia="en-GB"/>
                <w14:ligatures w14:val="none"/>
              </w:rPr>
              <w:t>Difference</w:t>
            </w:r>
          </w:p>
        </w:tc>
        <w:tc>
          <w:tcPr>
            <w:tcW w:w="608" w:type="dxa"/>
            <w:tcBorders>
              <w:top w:val="single" w:sz="4" w:space="0" w:color="auto"/>
              <w:left w:val="nil"/>
              <w:bottom w:val="single" w:sz="4" w:space="0" w:color="auto"/>
              <w:right w:val="single" w:sz="4" w:space="0" w:color="auto"/>
            </w:tcBorders>
            <w:shd w:val="clear" w:color="000000" w:fill="156082"/>
            <w:noWrap/>
            <w:vAlign w:val="bottom"/>
            <w:hideMark/>
          </w:tcPr>
          <w:p w14:paraId="5F586C7E" w14:textId="77777777" w:rsidR="00ED6F95" w:rsidRPr="00640056" w:rsidRDefault="00ED6F95" w:rsidP="00ED6F95">
            <w:pPr>
              <w:spacing w:after="0"/>
              <w:ind w:left="0"/>
              <w:rPr>
                <w:rFonts w:ascii="Calibri" w:eastAsia="Times New Roman" w:hAnsi="Calibri" w:cs="Calibri"/>
                <w:b/>
                <w:bCs/>
                <w:color w:val="FFFFFF"/>
                <w:kern w:val="0"/>
                <w:sz w:val="20"/>
                <w:szCs w:val="20"/>
                <w:lang w:eastAsia="en-GB"/>
                <w14:ligatures w14:val="none"/>
              </w:rPr>
            </w:pPr>
            <w:r w:rsidRPr="00640056">
              <w:rPr>
                <w:rFonts w:ascii="Calibri" w:eastAsia="Times New Roman" w:hAnsi="Calibri" w:cs="Calibri"/>
                <w:b/>
                <w:bCs/>
                <w:color w:val="FFFFFF"/>
                <w:kern w:val="0"/>
                <w:sz w:val="20"/>
                <w:szCs w:val="20"/>
                <w:lang w:eastAsia="en-GB"/>
                <w14:ligatures w14:val="none"/>
              </w:rPr>
              <w:t>Pay Gap %</w:t>
            </w:r>
          </w:p>
        </w:tc>
      </w:tr>
      <w:tr w:rsidR="00ED6F95" w:rsidRPr="00640056" w14:paraId="25F3FE23" w14:textId="77777777" w:rsidTr="00640056">
        <w:trPr>
          <w:trHeight w:val="290"/>
        </w:trPr>
        <w:tc>
          <w:tcPr>
            <w:tcW w:w="2954" w:type="dxa"/>
            <w:tcBorders>
              <w:top w:val="nil"/>
              <w:left w:val="single" w:sz="4" w:space="0" w:color="auto"/>
              <w:bottom w:val="single" w:sz="4" w:space="0" w:color="auto"/>
              <w:right w:val="single" w:sz="4" w:space="0" w:color="auto"/>
            </w:tcBorders>
            <w:noWrap/>
            <w:vAlign w:val="bottom"/>
            <w:hideMark/>
          </w:tcPr>
          <w:p w14:paraId="6698710C" w14:textId="77777777" w:rsidR="00ED6F95" w:rsidRPr="00640056" w:rsidRDefault="00ED6F95" w:rsidP="00ED6F95">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2022/23</w:t>
            </w:r>
          </w:p>
        </w:tc>
        <w:tc>
          <w:tcPr>
            <w:tcW w:w="1820" w:type="dxa"/>
            <w:tcBorders>
              <w:top w:val="nil"/>
              <w:left w:val="nil"/>
              <w:bottom w:val="single" w:sz="4" w:space="0" w:color="auto"/>
              <w:right w:val="single" w:sz="4" w:space="0" w:color="auto"/>
            </w:tcBorders>
            <w:noWrap/>
            <w:vAlign w:val="bottom"/>
            <w:hideMark/>
          </w:tcPr>
          <w:p w14:paraId="0135BAD8"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16.86</w:t>
            </w:r>
          </w:p>
        </w:tc>
        <w:tc>
          <w:tcPr>
            <w:tcW w:w="2020" w:type="dxa"/>
            <w:tcBorders>
              <w:top w:val="nil"/>
              <w:left w:val="nil"/>
              <w:bottom w:val="single" w:sz="4" w:space="0" w:color="auto"/>
              <w:right w:val="single" w:sz="4" w:space="0" w:color="auto"/>
            </w:tcBorders>
            <w:noWrap/>
            <w:vAlign w:val="bottom"/>
            <w:hideMark/>
          </w:tcPr>
          <w:p w14:paraId="054DB003"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17.06</w:t>
            </w:r>
          </w:p>
        </w:tc>
        <w:tc>
          <w:tcPr>
            <w:tcW w:w="2020" w:type="dxa"/>
            <w:tcBorders>
              <w:top w:val="nil"/>
              <w:left w:val="nil"/>
              <w:bottom w:val="single" w:sz="4" w:space="0" w:color="auto"/>
              <w:right w:val="single" w:sz="4" w:space="0" w:color="auto"/>
            </w:tcBorders>
            <w:noWrap/>
            <w:vAlign w:val="bottom"/>
            <w:hideMark/>
          </w:tcPr>
          <w:p w14:paraId="106617C5"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-0.2</w:t>
            </w:r>
          </w:p>
        </w:tc>
        <w:tc>
          <w:tcPr>
            <w:tcW w:w="608" w:type="dxa"/>
            <w:tcBorders>
              <w:top w:val="nil"/>
              <w:left w:val="nil"/>
              <w:bottom w:val="single" w:sz="4" w:space="0" w:color="auto"/>
              <w:right w:val="single" w:sz="4" w:space="0" w:color="auto"/>
            </w:tcBorders>
            <w:noWrap/>
            <w:vAlign w:val="bottom"/>
            <w:hideMark/>
          </w:tcPr>
          <w:p w14:paraId="37AA93C7"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-1.19</w:t>
            </w:r>
          </w:p>
        </w:tc>
      </w:tr>
      <w:tr w:rsidR="00ED6F95" w:rsidRPr="00640056" w14:paraId="4D80BC01" w14:textId="77777777" w:rsidTr="00640056">
        <w:trPr>
          <w:trHeight w:val="290"/>
        </w:trPr>
        <w:tc>
          <w:tcPr>
            <w:tcW w:w="2954" w:type="dxa"/>
            <w:tcBorders>
              <w:top w:val="nil"/>
              <w:left w:val="single" w:sz="4" w:space="0" w:color="auto"/>
              <w:bottom w:val="single" w:sz="4" w:space="0" w:color="auto"/>
              <w:right w:val="single" w:sz="4" w:space="0" w:color="auto"/>
            </w:tcBorders>
            <w:noWrap/>
            <w:vAlign w:val="bottom"/>
            <w:hideMark/>
          </w:tcPr>
          <w:p w14:paraId="1C693D4A" w14:textId="77777777" w:rsidR="00ED6F95" w:rsidRPr="00640056" w:rsidRDefault="00ED6F95" w:rsidP="00ED6F95">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2023/24</w:t>
            </w:r>
          </w:p>
        </w:tc>
        <w:tc>
          <w:tcPr>
            <w:tcW w:w="1820" w:type="dxa"/>
            <w:tcBorders>
              <w:top w:val="nil"/>
              <w:left w:val="nil"/>
              <w:bottom w:val="single" w:sz="4" w:space="0" w:color="auto"/>
              <w:right w:val="single" w:sz="4" w:space="0" w:color="auto"/>
            </w:tcBorders>
            <w:noWrap/>
            <w:vAlign w:val="bottom"/>
            <w:hideMark/>
          </w:tcPr>
          <w:p w14:paraId="0C60F8AF"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17.81</w:t>
            </w:r>
          </w:p>
        </w:tc>
        <w:tc>
          <w:tcPr>
            <w:tcW w:w="2020" w:type="dxa"/>
            <w:tcBorders>
              <w:top w:val="nil"/>
              <w:left w:val="nil"/>
              <w:bottom w:val="single" w:sz="4" w:space="0" w:color="auto"/>
              <w:right w:val="single" w:sz="4" w:space="0" w:color="auto"/>
            </w:tcBorders>
            <w:noWrap/>
            <w:vAlign w:val="bottom"/>
            <w:hideMark/>
          </w:tcPr>
          <w:p w14:paraId="7F30F8E8"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17.89</w:t>
            </w:r>
          </w:p>
        </w:tc>
        <w:tc>
          <w:tcPr>
            <w:tcW w:w="2020" w:type="dxa"/>
            <w:tcBorders>
              <w:top w:val="nil"/>
              <w:left w:val="nil"/>
              <w:bottom w:val="single" w:sz="4" w:space="0" w:color="auto"/>
              <w:right w:val="single" w:sz="4" w:space="0" w:color="auto"/>
            </w:tcBorders>
            <w:noWrap/>
            <w:vAlign w:val="bottom"/>
            <w:hideMark/>
          </w:tcPr>
          <w:p w14:paraId="14C9EA59"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-0.08</w:t>
            </w:r>
          </w:p>
        </w:tc>
        <w:tc>
          <w:tcPr>
            <w:tcW w:w="608" w:type="dxa"/>
            <w:tcBorders>
              <w:top w:val="nil"/>
              <w:left w:val="nil"/>
              <w:bottom w:val="single" w:sz="4" w:space="0" w:color="auto"/>
              <w:right w:val="single" w:sz="4" w:space="0" w:color="auto"/>
            </w:tcBorders>
            <w:noWrap/>
            <w:vAlign w:val="bottom"/>
            <w:hideMark/>
          </w:tcPr>
          <w:p w14:paraId="21301ACC"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-0.45</w:t>
            </w:r>
          </w:p>
        </w:tc>
      </w:tr>
      <w:tr w:rsidR="00ED6F95" w:rsidRPr="00640056" w14:paraId="19451F02" w14:textId="77777777" w:rsidTr="00640056">
        <w:trPr>
          <w:trHeight w:val="290"/>
        </w:trPr>
        <w:tc>
          <w:tcPr>
            <w:tcW w:w="2954" w:type="dxa"/>
            <w:tcBorders>
              <w:top w:val="nil"/>
              <w:left w:val="single" w:sz="4" w:space="0" w:color="auto"/>
              <w:bottom w:val="single" w:sz="4" w:space="0" w:color="auto"/>
              <w:right w:val="single" w:sz="4" w:space="0" w:color="auto"/>
            </w:tcBorders>
            <w:noWrap/>
            <w:vAlign w:val="bottom"/>
            <w:hideMark/>
          </w:tcPr>
          <w:p w14:paraId="5EB95F88" w14:textId="77777777" w:rsidR="00ED6F95" w:rsidRPr="00640056" w:rsidRDefault="00ED6F95" w:rsidP="00ED6F95">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2024/25</w:t>
            </w:r>
          </w:p>
        </w:tc>
        <w:tc>
          <w:tcPr>
            <w:tcW w:w="1820" w:type="dxa"/>
            <w:tcBorders>
              <w:top w:val="nil"/>
              <w:left w:val="nil"/>
              <w:bottom w:val="single" w:sz="4" w:space="0" w:color="auto"/>
              <w:right w:val="single" w:sz="4" w:space="0" w:color="auto"/>
            </w:tcBorders>
            <w:noWrap/>
            <w:vAlign w:val="bottom"/>
            <w:hideMark/>
          </w:tcPr>
          <w:p w14:paraId="0892D733"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19.09</w:t>
            </w:r>
          </w:p>
        </w:tc>
        <w:tc>
          <w:tcPr>
            <w:tcW w:w="2020" w:type="dxa"/>
            <w:tcBorders>
              <w:top w:val="nil"/>
              <w:left w:val="nil"/>
              <w:bottom w:val="single" w:sz="4" w:space="0" w:color="auto"/>
              <w:right w:val="single" w:sz="4" w:space="0" w:color="auto"/>
            </w:tcBorders>
            <w:noWrap/>
            <w:vAlign w:val="bottom"/>
            <w:hideMark/>
          </w:tcPr>
          <w:p w14:paraId="04567D7F"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18.75</w:t>
            </w:r>
          </w:p>
        </w:tc>
        <w:tc>
          <w:tcPr>
            <w:tcW w:w="2020" w:type="dxa"/>
            <w:tcBorders>
              <w:top w:val="nil"/>
              <w:left w:val="nil"/>
              <w:bottom w:val="single" w:sz="4" w:space="0" w:color="auto"/>
              <w:right w:val="single" w:sz="4" w:space="0" w:color="auto"/>
            </w:tcBorders>
            <w:noWrap/>
            <w:vAlign w:val="bottom"/>
            <w:hideMark/>
          </w:tcPr>
          <w:p w14:paraId="05192CEF"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0.34</w:t>
            </w:r>
          </w:p>
        </w:tc>
        <w:tc>
          <w:tcPr>
            <w:tcW w:w="608" w:type="dxa"/>
            <w:tcBorders>
              <w:top w:val="nil"/>
              <w:left w:val="nil"/>
              <w:bottom w:val="single" w:sz="4" w:space="0" w:color="auto"/>
              <w:right w:val="single" w:sz="4" w:space="0" w:color="auto"/>
            </w:tcBorders>
            <w:noWrap/>
            <w:vAlign w:val="bottom"/>
            <w:hideMark/>
          </w:tcPr>
          <w:p w14:paraId="31DD7E5A" w14:textId="77777777" w:rsidR="00ED6F95" w:rsidRPr="00640056" w:rsidRDefault="00ED6F95" w:rsidP="00ED6F95">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1.78</w:t>
            </w:r>
          </w:p>
        </w:tc>
      </w:tr>
    </w:tbl>
    <w:p w14:paraId="37B4277B" w14:textId="77777777" w:rsidR="008A7FB6" w:rsidRPr="00640056" w:rsidRDefault="008A7FB6" w:rsidP="002D02E1">
      <w:pPr>
        <w:spacing w:after="0"/>
        <w:ind w:left="0"/>
        <w:jc w:val="both"/>
        <w:rPr>
          <w:rFonts w:ascii="Calibri" w:hAnsi="Calibri" w:cs="Calibri"/>
          <w:sz w:val="20"/>
          <w:szCs w:val="20"/>
        </w:rPr>
      </w:pPr>
    </w:p>
    <w:p w14:paraId="75553F78" w14:textId="10127E3C" w:rsidR="0090308F" w:rsidRDefault="00DC7DBF" w:rsidP="0090308F">
      <w:pPr>
        <w:spacing w:after="0"/>
        <w:ind w:left="-113"/>
        <w:jc w:val="both"/>
        <w:rPr>
          <w:rFonts w:ascii="Calibri" w:hAnsi="Calibri" w:cs="Calibri"/>
        </w:rPr>
      </w:pPr>
      <w:r>
        <w:rPr>
          <w:rFonts w:ascii="Calibri" w:hAnsi="Calibri" w:cs="Calibri"/>
        </w:rPr>
        <w:t xml:space="preserve">5.5  </w:t>
      </w:r>
      <w:r w:rsidR="000331DF">
        <w:rPr>
          <w:rFonts w:ascii="Calibri" w:hAnsi="Calibri" w:cs="Calibri"/>
        </w:rPr>
        <w:t xml:space="preserve">  </w:t>
      </w:r>
      <w:r w:rsidR="0090308F" w:rsidRPr="0090308F">
        <w:rPr>
          <w:rStyle w:val="Strong"/>
          <w:rFonts w:ascii="Calibri" w:hAnsi="Calibri" w:cs="Calibri"/>
          <w:b w:val="0"/>
          <w:bCs w:val="0"/>
        </w:rPr>
        <w:t>Figure 5.5.1</w:t>
      </w:r>
      <w:r w:rsidR="0090308F" w:rsidRPr="0090308F">
        <w:rPr>
          <w:rFonts w:ascii="Calibri" w:hAnsi="Calibri" w:cs="Calibri"/>
        </w:rPr>
        <w:t xml:space="preserve"> shows the distribution of White and BME colleagues across the AFC pay </w:t>
      </w:r>
      <w:r w:rsidR="0090308F">
        <w:rPr>
          <w:rFonts w:ascii="Calibri" w:hAnsi="Calibri" w:cs="Calibri"/>
        </w:rPr>
        <w:t xml:space="preserve"> </w:t>
      </w:r>
    </w:p>
    <w:p w14:paraId="1B6E9F91" w14:textId="77777777" w:rsidR="0090308F" w:rsidRDefault="0090308F" w:rsidP="0090308F">
      <w:pPr>
        <w:spacing w:after="0"/>
        <w:ind w:left="-113"/>
        <w:jc w:val="both"/>
        <w:rPr>
          <w:rFonts w:ascii="Calibri" w:hAnsi="Calibri" w:cs="Calibri"/>
        </w:rPr>
      </w:pPr>
      <w:r>
        <w:rPr>
          <w:rFonts w:ascii="Calibri" w:hAnsi="Calibri" w:cs="Calibri"/>
        </w:rPr>
        <w:t xml:space="preserve">          </w:t>
      </w:r>
      <w:r w:rsidRPr="0090308F">
        <w:rPr>
          <w:rFonts w:ascii="Calibri" w:hAnsi="Calibri" w:cs="Calibri"/>
        </w:rPr>
        <w:t xml:space="preserve">scales. A higher proportion of White staff are in the top pay bands, contributing to the </w:t>
      </w:r>
    </w:p>
    <w:p w14:paraId="405235B0" w14:textId="11A668B0" w:rsidR="0090308F" w:rsidRDefault="0090308F" w:rsidP="0090308F">
      <w:pPr>
        <w:spacing w:after="0"/>
        <w:ind w:left="-113"/>
        <w:jc w:val="both"/>
        <w:rPr>
          <w:rFonts w:ascii="Calibri" w:hAnsi="Calibri" w:cs="Calibri"/>
        </w:rPr>
      </w:pPr>
      <w:r>
        <w:rPr>
          <w:rFonts w:ascii="Calibri" w:hAnsi="Calibri" w:cs="Calibri"/>
        </w:rPr>
        <w:t xml:space="preserve">          </w:t>
      </w:r>
      <w:r w:rsidRPr="0090308F">
        <w:rPr>
          <w:rFonts w:ascii="Calibri" w:hAnsi="Calibri" w:cs="Calibri"/>
        </w:rPr>
        <w:t xml:space="preserve">overall ethnicity pay gap. In contrast, Medical and Dental grades show a pay gap in favour </w:t>
      </w:r>
    </w:p>
    <w:p w14:paraId="15732D75" w14:textId="327FF815" w:rsidR="0090308F" w:rsidRDefault="0090308F" w:rsidP="0090308F">
      <w:pPr>
        <w:spacing w:after="0"/>
        <w:ind w:left="-113"/>
        <w:jc w:val="both"/>
        <w:rPr>
          <w:rFonts w:ascii="Calibri" w:hAnsi="Calibri" w:cs="Calibri"/>
        </w:rPr>
      </w:pPr>
      <w:r>
        <w:rPr>
          <w:rFonts w:ascii="Calibri" w:hAnsi="Calibri" w:cs="Calibri"/>
        </w:rPr>
        <w:t xml:space="preserve">          </w:t>
      </w:r>
      <w:r w:rsidRPr="0090308F">
        <w:rPr>
          <w:rFonts w:ascii="Calibri" w:hAnsi="Calibri" w:cs="Calibri"/>
        </w:rPr>
        <w:t xml:space="preserve">of BME colleagues, reflecting their higher representation in these roles. BME </w:t>
      </w:r>
    </w:p>
    <w:p w14:paraId="5AD2853E" w14:textId="1C66EEC7" w:rsidR="0090308F" w:rsidRDefault="0090308F" w:rsidP="0090308F">
      <w:pPr>
        <w:spacing w:after="0"/>
        <w:ind w:left="-113"/>
        <w:jc w:val="both"/>
        <w:rPr>
          <w:rFonts w:ascii="Calibri" w:hAnsi="Calibri" w:cs="Calibri"/>
        </w:rPr>
      </w:pPr>
      <w:r>
        <w:rPr>
          <w:rFonts w:ascii="Calibri" w:hAnsi="Calibri" w:cs="Calibri"/>
        </w:rPr>
        <w:t xml:space="preserve">          </w:t>
      </w:r>
      <w:r w:rsidRPr="0090308F">
        <w:rPr>
          <w:rFonts w:ascii="Calibri" w:hAnsi="Calibri" w:cs="Calibri"/>
        </w:rPr>
        <w:t xml:space="preserve">representation in VSM roles remains low, with 80% occupied by White staff and only 20% </w:t>
      </w:r>
    </w:p>
    <w:p w14:paraId="2AA5BE02" w14:textId="5445C521" w:rsidR="002430C0" w:rsidRDefault="0090308F" w:rsidP="00947BB0">
      <w:pPr>
        <w:spacing w:after="0"/>
        <w:ind w:left="-113"/>
        <w:jc w:val="both"/>
        <w:rPr>
          <w:rFonts w:ascii="Calibri" w:hAnsi="Calibri" w:cs="Calibri"/>
        </w:rPr>
      </w:pPr>
      <w:r>
        <w:rPr>
          <w:rFonts w:ascii="Calibri" w:hAnsi="Calibri" w:cs="Calibri"/>
        </w:rPr>
        <w:t xml:space="preserve">          </w:t>
      </w:r>
      <w:r w:rsidRPr="0090308F">
        <w:rPr>
          <w:rFonts w:ascii="Calibri" w:hAnsi="Calibri" w:cs="Calibri"/>
        </w:rPr>
        <w:t>by BME staff.</w:t>
      </w:r>
    </w:p>
    <w:p w14:paraId="2A476E19" w14:textId="6D0F7950" w:rsidR="00FB4EC5" w:rsidRDefault="00FB4EC5" w:rsidP="00FB4EC5">
      <w:pPr>
        <w:tabs>
          <w:tab w:val="left" w:pos="2510"/>
        </w:tabs>
        <w:spacing w:after="0"/>
        <w:ind w:left="-113"/>
        <w:jc w:val="both"/>
        <w:rPr>
          <w:rFonts w:ascii="Calibri" w:hAnsi="Calibri" w:cs="Calibri"/>
        </w:rPr>
      </w:pPr>
      <w:r>
        <w:rPr>
          <w:rFonts w:ascii="Calibri" w:hAnsi="Calibri" w:cs="Calibri"/>
        </w:rPr>
        <w:tab/>
      </w:r>
    </w:p>
    <w:p w14:paraId="782666A5" w14:textId="77777777" w:rsidR="00FB4EC5" w:rsidRPr="00313965" w:rsidRDefault="00FB4EC5" w:rsidP="00FB4EC5">
      <w:pPr>
        <w:tabs>
          <w:tab w:val="left" w:pos="2510"/>
        </w:tabs>
        <w:spacing w:after="0"/>
        <w:ind w:left="-113"/>
        <w:jc w:val="both"/>
        <w:rPr>
          <w:rFonts w:ascii="Calibri" w:hAnsi="Calibri" w:cs="Calibri"/>
        </w:rPr>
      </w:pPr>
    </w:p>
    <w:tbl>
      <w:tblPr>
        <w:tblW w:w="8155" w:type="dxa"/>
        <w:tblInd w:w="426" w:type="dxa"/>
        <w:tblLook w:val="04A0" w:firstRow="1" w:lastRow="0" w:firstColumn="1" w:lastColumn="0" w:noHBand="0" w:noVBand="1"/>
      </w:tblPr>
      <w:tblGrid>
        <w:gridCol w:w="4771"/>
        <w:gridCol w:w="993"/>
        <w:gridCol w:w="991"/>
        <w:gridCol w:w="1400"/>
      </w:tblGrid>
      <w:tr w:rsidR="00C723D7" w:rsidRPr="00C723D7" w14:paraId="33E0AEA6" w14:textId="77777777" w:rsidTr="0090308F">
        <w:trPr>
          <w:trHeight w:val="310"/>
        </w:trPr>
        <w:tc>
          <w:tcPr>
            <w:tcW w:w="8155" w:type="dxa"/>
            <w:gridSpan w:val="4"/>
            <w:tcBorders>
              <w:top w:val="nil"/>
              <w:left w:val="nil"/>
              <w:bottom w:val="single" w:sz="4" w:space="0" w:color="BFBFBF"/>
              <w:right w:val="nil"/>
            </w:tcBorders>
            <w:noWrap/>
            <w:hideMark/>
          </w:tcPr>
          <w:p w14:paraId="5403FB60" w14:textId="77777777" w:rsidR="00640056" w:rsidRDefault="00640056" w:rsidP="00C723D7">
            <w:pPr>
              <w:spacing w:after="0"/>
              <w:ind w:left="0"/>
              <w:jc w:val="center"/>
              <w:rPr>
                <w:rFonts w:ascii="Calibri" w:eastAsia="Times New Roman" w:hAnsi="Calibri" w:cs="Calibri"/>
                <w:b/>
                <w:bCs/>
                <w:color w:val="000000"/>
                <w:kern w:val="0"/>
                <w:sz w:val="22"/>
                <w:szCs w:val="22"/>
                <w:lang w:eastAsia="en-GB"/>
                <w14:ligatures w14:val="none"/>
              </w:rPr>
            </w:pPr>
          </w:p>
          <w:p w14:paraId="4420A82D" w14:textId="28A4C41B" w:rsidR="00C723D7" w:rsidRPr="00640056" w:rsidRDefault="002430C0" w:rsidP="00C723D7">
            <w:pPr>
              <w:spacing w:after="0"/>
              <w:ind w:left="0"/>
              <w:jc w:val="center"/>
              <w:rPr>
                <w:rFonts w:ascii="Calibri" w:eastAsia="Times New Roman" w:hAnsi="Calibri" w:cs="Calibri"/>
                <w:b/>
                <w:bCs/>
                <w:color w:val="000000"/>
                <w:kern w:val="0"/>
                <w:sz w:val="22"/>
                <w:szCs w:val="22"/>
                <w:lang w:eastAsia="en-GB"/>
                <w14:ligatures w14:val="none"/>
              </w:rPr>
            </w:pPr>
            <w:r w:rsidRPr="00640056">
              <w:rPr>
                <w:rFonts w:ascii="Calibri" w:eastAsia="Times New Roman" w:hAnsi="Calibri" w:cs="Calibri"/>
                <w:b/>
                <w:bCs/>
                <w:color w:val="000000"/>
                <w:kern w:val="0"/>
                <w:sz w:val="22"/>
                <w:szCs w:val="22"/>
                <w:lang w:eastAsia="en-GB"/>
                <w14:ligatures w14:val="none"/>
              </w:rPr>
              <w:t xml:space="preserve">Figure 5.5.1 </w:t>
            </w:r>
            <w:r w:rsidR="00C723D7" w:rsidRPr="00640056">
              <w:rPr>
                <w:rFonts w:ascii="Calibri" w:eastAsia="Times New Roman" w:hAnsi="Calibri" w:cs="Calibri"/>
                <w:b/>
                <w:bCs/>
                <w:color w:val="000000"/>
                <w:kern w:val="0"/>
                <w:sz w:val="22"/>
                <w:szCs w:val="22"/>
                <w:lang w:eastAsia="en-GB"/>
                <w14:ligatures w14:val="none"/>
              </w:rPr>
              <w:t>2025</w:t>
            </w:r>
          </w:p>
        </w:tc>
      </w:tr>
      <w:tr w:rsidR="00C723D7" w:rsidRPr="00C723D7" w14:paraId="7FAED241" w14:textId="77777777" w:rsidTr="0090308F">
        <w:trPr>
          <w:trHeight w:val="290"/>
        </w:trPr>
        <w:tc>
          <w:tcPr>
            <w:tcW w:w="4771" w:type="dxa"/>
            <w:tcBorders>
              <w:top w:val="nil"/>
              <w:left w:val="single" w:sz="4" w:space="0" w:color="BFBFBF"/>
              <w:bottom w:val="single" w:sz="4" w:space="0" w:color="BFBFBF"/>
              <w:right w:val="single" w:sz="4" w:space="0" w:color="BFBFBF"/>
            </w:tcBorders>
            <w:shd w:val="clear" w:color="C0E6F5" w:fill="000000"/>
            <w:noWrap/>
            <w:vAlign w:val="bottom"/>
            <w:hideMark/>
          </w:tcPr>
          <w:p w14:paraId="4D98EA26" w14:textId="77777777" w:rsidR="00C723D7" w:rsidRPr="00640056" w:rsidRDefault="00C723D7" w:rsidP="00C723D7">
            <w:pPr>
              <w:spacing w:after="0"/>
              <w:ind w:left="0"/>
              <w:rPr>
                <w:rFonts w:ascii="Calibri" w:eastAsia="Times New Roman" w:hAnsi="Calibri" w:cs="Calibri"/>
                <w:b/>
                <w:bCs/>
                <w:color w:val="FFFFFF"/>
                <w:kern w:val="0"/>
                <w:sz w:val="20"/>
                <w:szCs w:val="20"/>
                <w:lang w:eastAsia="en-GB"/>
                <w14:ligatures w14:val="none"/>
              </w:rPr>
            </w:pPr>
            <w:r w:rsidRPr="00640056">
              <w:rPr>
                <w:rFonts w:ascii="Calibri" w:eastAsia="Times New Roman" w:hAnsi="Calibri" w:cs="Calibri"/>
                <w:b/>
                <w:bCs/>
                <w:color w:val="FFFFFF"/>
                <w:kern w:val="0"/>
                <w:sz w:val="20"/>
                <w:szCs w:val="20"/>
                <w:lang w:eastAsia="en-GB"/>
                <w14:ligatures w14:val="none"/>
              </w:rPr>
              <w:t>Pay Band</w:t>
            </w:r>
          </w:p>
        </w:tc>
        <w:tc>
          <w:tcPr>
            <w:tcW w:w="993" w:type="dxa"/>
            <w:tcBorders>
              <w:top w:val="nil"/>
              <w:left w:val="nil"/>
              <w:bottom w:val="single" w:sz="4" w:space="0" w:color="BFBFBF"/>
              <w:right w:val="single" w:sz="4" w:space="0" w:color="BFBFBF"/>
            </w:tcBorders>
            <w:shd w:val="clear" w:color="C0E6F5" w:fill="000000"/>
            <w:noWrap/>
            <w:vAlign w:val="bottom"/>
            <w:hideMark/>
          </w:tcPr>
          <w:p w14:paraId="7E5B9775" w14:textId="77777777" w:rsidR="00C723D7" w:rsidRPr="00640056" w:rsidRDefault="00C723D7" w:rsidP="00C723D7">
            <w:pPr>
              <w:spacing w:after="0"/>
              <w:ind w:left="0"/>
              <w:rPr>
                <w:rFonts w:ascii="Calibri" w:eastAsia="Times New Roman" w:hAnsi="Calibri" w:cs="Calibri"/>
                <w:b/>
                <w:bCs/>
                <w:color w:val="FFFFFF"/>
                <w:kern w:val="0"/>
                <w:sz w:val="20"/>
                <w:szCs w:val="20"/>
                <w:lang w:eastAsia="en-GB"/>
                <w14:ligatures w14:val="none"/>
              </w:rPr>
            </w:pPr>
            <w:r w:rsidRPr="00640056">
              <w:rPr>
                <w:rFonts w:ascii="Calibri" w:eastAsia="Times New Roman" w:hAnsi="Calibri" w:cs="Calibri"/>
                <w:b/>
                <w:bCs/>
                <w:color w:val="FFFFFF"/>
                <w:kern w:val="0"/>
                <w:sz w:val="20"/>
                <w:szCs w:val="20"/>
                <w:lang w:eastAsia="en-GB"/>
                <w14:ligatures w14:val="none"/>
              </w:rPr>
              <w:t>White %</w:t>
            </w:r>
          </w:p>
        </w:tc>
        <w:tc>
          <w:tcPr>
            <w:tcW w:w="991" w:type="dxa"/>
            <w:tcBorders>
              <w:top w:val="nil"/>
              <w:left w:val="nil"/>
              <w:bottom w:val="single" w:sz="4" w:space="0" w:color="BFBFBF"/>
              <w:right w:val="single" w:sz="4" w:space="0" w:color="BFBFBF"/>
            </w:tcBorders>
            <w:shd w:val="clear" w:color="C0E6F5" w:fill="000000"/>
            <w:noWrap/>
            <w:vAlign w:val="bottom"/>
            <w:hideMark/>
          </w:tcPr>
          <w:p w14:paraId="1ACE53AD" w14:textId="13A868AB" w:rsidR="00C723D7" w:rsidRPr="00640056" w:rsidRDefault="00C723D7" w:rsidP="00C723D7">
            <w:pPr>
              <w:spacing w:after="0"/>
              <w:ind w:left="0"/>
              <w:rPr>
                <w:rFonts w:ascii="Calibri" w:eastAsia="Times New Roman" w:hAnsi="Calibri" w:cs="Calibri"/>
                <w:b/>
                <w:bCs/>
                <w:color w:val="FFFFFF"/>
                <w:kern w:val="0"/>
                <w:sz w:val="20"/>
                <w:szCs w:val="20"/>
                <w:lang w:eastAsia="en-GB"/>
                <w14:ligatures w14:val="none"/>
              </w:rPr>
            </w:pPr>
            <w:r w:rsidRPr="00640056">
              <w:rPr>
                <w:rFonts w:ascii="Calibri" w:eastAsia="Times New Roman" w:hAnsi="Calibri" w:cs="Calibri"/>
                <w:b/>
                <w:bCs/>
                <w:color w:val="FFFFFF"/>
                <w:kern w:val="0"/>
                <w:sz w:val="20"/>
                <w:szCs w:val="20"/>
                <w:lang w:eastAsia="en-GB"/>
                <w14:ligatures w14:val="none"/>
              </w:rPr>
              <w:t>BME %</w:t>
            </w:r>
          </w:p>
        </w:tc>
        <w:tc>
          <w:tcPr>
            <w:tcW w:w="1400" w:type="dxa"/>
            <w:tcBorders>
              <w:top w:val="nil"/>
              <w:left w:val="nil"/>
              <w:bottom w:val="single" w:sz="4" w:space="0" w:color="BFBFBF"/>
              <w:right w:val="single" w:sz="4" w:space="0" w:color="BFBFBF"/>
            </w:tcBorders>
            <w:shd w:val="clear" w:color="C0E6F5" w:fill="000000"/>
            <w:noWrap/>
            <w:vAlign w:val="bottom"/>
            <w:hideMark/>
          </w:tcPr>
          <w:p w14:paraId="786CC42C" w14:textId="77777777" w:rsidR="00C723D7" w:rsidRPr="00640056" w:rsidRDefault="00C723D7" w:rsidP="00C723D7">
            <w:pPr>
              <w:spacing w:after="0"/>
              <w:ind w:left="0"/>
              <w:rPr>
                <w:rFonts w:ascii="Calibri" w:eastAsia="Times New Roman" w:hAnsi="Calibri" w:cs="Calibri"/>
                <w:b/>
                <w:bCs/>
                <w:color w:val="FFFFFF"/>
                <w:kern w:val="0"/>
                <w:sz w:val="20"/>
                <w:szCs w:val="20"/>
                <w:lang w:eastAsia="en-GB"/>
                <w14:ligatures w14:val="none"/>
              </w:rPr>
            </w:pPr>
            <w:r w:rsidRPr="00640056">
              <w:rPr>
                <w:rFonts w:ascii="Calibri" w:eastAsia="Times New Roman" w:hAnsi="Calibri" w:cs="Calibri"/>
                <w:b/>
                <w:bCs/>
                <w:color w:val="FFFFFF"/>
                <w:kern w:val="0"/>
                <w:sz w:val="20"/>
                <w:szCs w:val="20"/>
                <w:lang w:eastAsia="en-GB"/>
                <w14:ligatures w14:val="none"/>
              </w:rPr>
              <w:t>Unknown %</w:t>
            </w:r>
          </w:p>
        </w:tc>
      </w:tr>
      <w:tr w:rsidR="00C723D7" w:rsidRPr="00C723D7" w14:paraId="42B0231B"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70C4F4A2"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Band 1</w:t>
            </w:r>
          </w:p>
        </w:tc>
        <w:tc>
          <w:tcPr>
            <w:tcW w:w="993" w:type="dxa"/>
            <w:tcBorders>
              <w:top w:val="nil"/>
              <w:left w:val="nil"/>
              <w:bottom w:val="single" w:sz="4" w:space="0" w:color="BFBFBF"/>
              <w:right w:val="single" w:sz="4" w:space="0" w:color="BFBFBF"/>
            </w:tcBorders>
            <w:noWrap/>
            <w:vAlign w:val="bottom"/>
            <w:hideMark/>
          </w:tcPr>
          <w:p w14:paraId="4EE9CFC8"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100%</w:t>
            </w:r>
          </w:p>
        </w:tc>
        <w:tc>
          <w:tcPr>
            <w:tcW w:w="991" w:type="dxa"/>
            <w:tcBorders>
              <w:top w:val="nil"/>
              <w:left w:val="nil"/>
              <w:bottom w:val="single" w:sz="4" w:space="0" w:color="BFBFBF"/>
              <w:right w:val="single" w:sz="4" w:space="0" w:color="BFBFBF"/>
            </w:tcBorders>
            <w:noWrap/>
            <w:vAlign w:val="bottom"/>
            <w:hideMark/>
          </w:tcPr>
          <w:p w14:paraId="7AD4F8E7"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0%</w:t>
            </w:r>
          </w:p>
        </w:tc>
        <w:tc>
          <w:tcPr>
            <w:tcW w:w="1400" w:type="dxa"/>
            <w:tcBorders>
              <w:top w:val="nil"/>
              <w:left w:val="nil"/>
              <w:bottom w:val="single" w:sz="4" w:space="0" w:color="BFBFBF"/>
              <w:right w:val="single" w:sz="4" w:space="0" w:color="BFBFBF"/>
            </w:tcBorders>
            <w:noWrap/>
            <w:vAlign w:val="bottom"/>
            <w:hideMark/>
          </w:tcPr>
          <w:p w14:paraId="575DC089"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0%</w:t>
            </w:r>
          </w:p>
        </w:tc>
      </w:tr>
      <w:tr w:rsidR="00C723D7" w:rsidRPr="00C723D7" w14:paraId="7D682650"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7A3FACC1"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Band 2</w:t>
            </w:r>
          </w:p>
        </w:tc>
        <w:tc>
          <w:tcPr>
            <w:tcW w:w="993" w:type="dxa"/>
            <w:tcBorders>
              <w:top w:val="nil"/>
              <w:left w:val="nil"/>
              <w:bottom w:val="single" w:sz="4" w:space="0" w:color="BFBFBF"/>
              <w:right w:val="single" w:sz="4" w:space="0" w:color="BFBFBF"/>
            </w:tcBorders>
            <w:noWrap/>
            <w:vAlign w:val="bottom"/>
            <w:hideMark/>
          </w:tcPr>
          <w:p w14:paraId="77D3622B"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37%</w:t>
            </w:r>
          </w:p>
        </w:tc>
        <w:tc>
          <w:tcPr>
            <w:tcW w:w="991" w:type="dxa"/>
            <w:tcBorders>
              <w:top w:val="nil"/>
              <w:left w:val="nil"/>
              <w:bottom w:val="single" w:sz="4" w:space="0" w:color="BFBFBF"/>
              <w:right w:val="single" w:sz="4" w:space="0" w:color="BFBFBF"/>
            </w:tcBorders>
            <w:noWrap/>
            <w:vAlign w:val="bottom"/>
            <w:hideMark/>
          </w:tcPr>
          <w:p w14:paraId="036A07C8"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52%</w:t>
            </w:r>
          </w:p>
        </w:tc>
        <w:tc>
          <w:tcPr>
            <w:tcW w:w="1400" w:type="dxa"/>
            <w:tcBorders>
              <w:top w:val="nil"/>
              <w:left w:val="nil"/>
              <w:bottom w:val="single" w:sz="4" w:space="0" w:color="BFBFBF"/>
              <w:right w:val="single" w:sz="4" w:space="0" w:color="BFBFBF"/>
            </w:tcBorders>
            <w:noWrap/>
            <w:vAlign w:val="bottom"/>
            <w:hideMark/>
          </w:tcPr>
          <w:p w14:paraId="15B93663"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11%</w:t>
            </w:r>
          </w:p>
        </w:tc>
      </w:tr>
      <w:tr w:rsidR="00C723D7" w:rsidRPr="00C723D7" w14:paraId="38DBD93A"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1F92CDAA"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Band 3</w:t>
            </w:r>
          </w:p>
        </w:tc>
        <w:tc>
          <w:tcPr>
            <w:tcW w:w="993" w:type="dxa"/>
            <w:tcBorders>
              <w:top w:val="nil"/>
              <w:left w:val="nil"/>
              <w:bottom w:val="single" w:sz="4" w:space="0" w:color="BFBFBF"/>
              <w:right w:val="single" w:sz="4" w:space="0" w:color="BFBFBF"/>
            </w:tcBorders>
            <w:noWrap/>
            <w:vAlign w:val="bottom"/>
            <w:hideMark/>
          </w:tcPr>
          <w:p w14:paraId="5DE8BD4F"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44%</w:t>
            </w:r>
          </w:p>
        </w:tc>
        <w:tc>
          <w:tcPr>
            <w:tcW w:w="991" w:type="dxa"/>
            <w:tcBorders>
              <w:top w:val="nil"/>
              <w:left w:val="nil"/>
              <w:bottom w:val="single" w:sz="4" w:space="0" w:color="BFBFBF"/>
              <w:right w:val="single" w:sz="4" w:space="0" w:color="BFBFBF"/>
            </w:tcBorders>
            <w:noWrap/>
            <w:vAlign w:val="bottom"/>
            <w:hideMark/>
          </w:tcPr>
          <w:p w14:paraId="44B375A3"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47%</w:t>
            </w:r>
          </w:p>
        </w:tc>
        <w:tc>
          <w:tcPr>
            <w:tcW w:w="1400" w:type="dxa"/>
            <w:tcBorders>
              <w:top w:val="nil"/>
              <w:left w:val="nil"/>
              <w:bottom w:val="single" w:sz="4" w:space="0" w:color="BFBFBF"/>
              <w:right w:val="single" w:sz="4" w:space="0" w:color="BFBFBF"/>
            </w:tcBorders>
            <w:noWrap/>
            <w:vAlign w:val="bottom"/>
            <w:hideMark/>
          </w:tcPr>
          <w:p w14:paraId="33B4C44F"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8%</w:t>
            </w:r>
          </w:p>
        </w:tc>
      </w:tr>
      <w:tr w:rsidR="00C723D7" w:rsidRPr="00C723D7" w14:paraId="284149C3"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65294755"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Band 4</w:t>
            </w:r>
          </w:p>
        </w:tc>
        <w:tc>
          <w:tcPr>
            <w:tcW w:w="993" w:type="dxa"/>
            <w:tcBorders>
              <w:top w:val="nil"/>
              <w:left w:val="nil"/>
              <w:bottom w:val="single" w:sz="4" w:space="0" w:color="BFBFBF"/>
              <w:right w:val="single" w:sz="4" w:space="0" w:color="BFBFBF"/>
            </w:tcBorders>
            <w:noWrap/>
            <w:vAlign w:val="bottom"/>
            <w:hideMark/>
          </w:tcPr>
          <w:p w14:paraId="7BA269BB"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58%</w:t>
            </w:r>
          </w:p>
        </w:tc>
        <w:tc>
          <w:tcPr>
            <w:tcW w:w="991" w:type="dxa"/>
            <w:tcBorders>
              <w:top w:val="nil"/>
              <w:left w:val="nil"/>
              <w:bottom w:val="single" w:sz="4" w:space="0" w:color="BFBFBF"/>
              <w:right w:val="single" w:sz="4" w:space="0" w:color="BFBFBF"/>
            </w:tcBorders>
            <w:noWrap/>
            <w:vAlign w:val="bottom"/>
            <w:hideMark/>
          </w:tcPr>
          <w:p w14:paraId="20BF33AE"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35%</w:t>
            </w:r>
          </w:p>
        </w:tc>
        <w:tc>
          <w:tcPr>
            <w:tcW w:w="1400" w:type="dxa"/>
            <w:tcBorders>
              <w:top w:val="nil"/>
              <w:left w:val="nil"/>
              <w:bottom w:val="single" w:sz="4" w:space="0" w:color="BFBFBF"/>
              <w:right w:val="single" w:sz="4" w:space="0" w:color="BFBFBF"/>
            </w:tcBorders>
            <w:noWrap/>
            <w:vAlign w:val="bottom"/>
            <w:hideMark/>
          </w:tcPr>
          <w:p w14:paraId="622E60B7"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7%</w:t>
            </w:r>
          </w:p>
        </w:tc>
      </w:tr>
      <w:tr w:rsidR="00C723D7" w:rsidRPr="00C723D7" w14:paraId="790DF950"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6BB78C4A"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Band 5</w:t>
            </w:r>
          </w:p>
        </w:tc>
        <w:tc>
          <w:tcPr>
            <w:tcW w:w="993" w:type="dxa"/>
            <w:tcBorders>
              <w:top w:val="nil"/>
              <w:left w:val="nil"/>
              <w:bottom w:val="single" w:sz="4" w:space="0" w:color="BFBFBF"/>
              <w:right w:val="single" w:sz="4" w:space="0" w:color="BFBFBF"/>
            </w:tcBorders>
            <w:noWrap/>
            <w:vAlign w:val="bottom"/>
            <w:hideMark/>
          </w:tcPr>
          <w:p w14:paraId="7B8DD389"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25%</w:t>
            </w:r>
          </w:p>
        </w:tc>
        <w:tc>
          <w:tcPr>
            <w:tcW w:w="991" w:type="dxa"/>
            <w:tcBorders>
              <w:top w:val="nil"/>
              <w:left w:val="nil"/>
              <w:bottom w:val="single" w:sz="4" w:space="0" w:color="BFBFBF"/>
              <w:right w:val="single" w:sz="4" w:space="0" w:color="BFBFBF"/>
            </w:tcBorders>
            <w:noWrap/>
            <w:vAlign w:val="bottom"/>
            <w:hideMark/>
          </w:tcPr>
          <w:p w14:paraId="0AF93B43"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54%</w:t>
            </w:r>
          </w:p>
        </w:tc>
        <w:tc>
          <w:tcPr>
            <w:tcW w:w="1400" w:type="dxa"/>
            <w:tcBorders>
              <w:top w:val="nil"/>
              <w:left w:val="nil"/>
              <w:bottom w:val="single" w:sz="4" w:space="0" w:color="BFBFBF"/>
              <w:right w:val="single" w:sz="4" w:space="0" w:color="BFBFBF"/>
            </w:tcBorders>
            <w:noWrap/>
            <w:vAlign w:val="bottom"/>
            <w:hideMark/>
          </w:tcPr>
          <w:p w14:paraId="166342FF"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21%</w:t>
            </w:r>
          </w:p>
        </w:tc>
      </w:tr>
      <w:tr w:rsidR="00C723D7" w:rsidRPr="00C723D7" w14:paraId="17CBB695"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2822799C"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Band 6</w:t>
            </w:r>
          </w:p>
        </w:tc>
        <w:tc>
          <w:tcPr>
            <w:tcW w:w="993" w:type="dxa"/>
            <w:tcBorders>
              <w:top w:val="nil"/>
              <w:left w:val="nil"/>
              <w:bottom w:val="single" w:sz="4" w:space="0" w:color="BFBFBF"/>
              <w:right w:val="single" w:sz="4" w:space="0" w:color="BFBFBF"/>
            </w:tcBorders>
            <w:noWrap/>
            <w:vAlign w:val="bottom"/>
            <w:hideMark/>
          </w:tcPr>
          <w:p w14:paraId="4DA01FC7"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48%</w:t>
            </w:r>
          </w:p>
        </w:tc>
        <w:tc>
          <w:tcPr>
            <w:tcW w:w="991" w:type="dxa"/>
            <w:tcBorders>
              <w:top w:val="nil"/>
              <w:left w:val="nil"/>
              <w:bottom w:val="single" w:sz="4" w:space="0" w:color="BFBFBF"/>
              <w:right w:val="single" w:sz="4" w:space="0" w:color="BFBFBF"/>
            </w:tcBorders>
            <w:noWrap/>
            <w:vAlign w:val="bottom"/>
            <w:hideMark/>
          </w:tcPr>
          <w:p w14:paraId="12EFE16C"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45%</w:t>
            </w:r>
          </w:p>
        </w:tc>
        <w:tc>
          <w:tcPr>
            <w:tcW w:w="1400" w:type="dxa"/>
            <w:tcBorders>
              <w:top w:val="nil"/>
              <w:left w:val="nil"/>
              <w:bottom w:val="single" w:sz="4" w:space="0" w:color="BFBFBF"/>
              <w:right w:val="single" w:sz="4" w:space="0" w:color="BFBFBF"/>
            </w:tcBorders>
            <w:noWrap/>
            <w:vAlign w:val="bottom"/>
            <w:hideMark/>
          </w:tcPr>
          <w:p w14:paraId="17A7B4B1"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7%</w:t>
            </w:r>
          </w:p>
        </w:tc>
      </w:tr>
      <w:tr w:rsidR="00C723D7" w:rsidRPr="00C723D7" w14:paraId="4D35AC45"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7D282228"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Band 7</w:t>
            </w:r>
          </w:p>
        </w:tc>
        <w:tc>
          <w:tcPr>
            <w:tcW w:w="993" w:type="dxa"/>
            <w:tcBorders>
              <w:top w:val="nil"/>
              <w:left w:val="nil"/>
              <w:bottom w:val="single" w:sz="4" w:space="0" w:color="BFBFBF"/>
              <w:right w:val="single" w:sz="4" w:space="0" w:color="BFBFBF"/>
            </w:tcBorders>
            <w:noWrap/>
            <w:vAlign w:val="bottom"/>
            <w:hideMark/>
          </w:tcPr>
          <w:p w14:paraId="07B342EF"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60%</w:t>
            </w:r>
          </w:p>
        </w:tc>
        <w:tc>
          <w:tcPr>
            <w:tcW w:w="991" w:type="dxa"/>
            <w:tcBorders>
              <w:top w:val="nil"/>
              <w:left w:val="nil"/>
              <w:bottom w:val="single" w:sz="4" w:space="0" w:color="BFBFBF"/>
              <w:right w:val="single" w:sz="4" w:space="0" w:color="BFBFBF"/>
            </w:tcBorders>
            <w:noWrap/>
            <w:vAlign w:val="bottom"/>
            <w:hideMark/>
          </w:tcPr>
          <w:p w14:paraId="031B7B9B"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36%</w:t>
            </w:r>
          </w:p>
        </w:tc>
        <w:tc>
          <w:tcPr>
            <w:tcW w:w="1400" w:type="dxa"/>
            <w:tcBorders>
              <w:top w:val="nil"/>
              <w:left w:val="nil"/>
              <w:bottom w:val="single" w:sz="4" w:space="0" w:color="BFBFBF"/>
              <w:right w:val="single" w:sz="4" w:space="0" w:color="BFBFBF"/>
            </w:tcBorders>
            <w:noWrap/>
            <w:vAlign w:val="bottom"/>
            <w:hideMark/>
          </w:tcPr>
          <w:p w14:paraId="5061A64D"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4%</w:t>
            </w:r>
          </w:p>
        </w:tc>
      </w:tr>
      <w:tr w:rsidR="00C723D7" w:rsidRPr="00C723D7" w14:paraId="775C21A4"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1F1EAACF"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Band 8a</w:t>
            </w:r>
          </w:p>
        </w:tc>
        <w:tc>
          <w:tcPr>
            <w:tcW w:w="993" w:type="dxa"/>
            <w:tcBorders>
              <w:top w:val="nil"/>
              <w:left w:val="nil"/>
              <w:bottom w:val="single" w:sz="4" w:space="0" w:color="BFBFBF"/>
              <w:right w:val="single" w:sz="4" w:space="0" w:color="BFBFBF"/>
            </w:tcBorders>
            <w:noWrap/>
            <w:vAlign w:val="bottom"/>
            <w:hideMark/>
          </w:tcPr>
          <w:p w14:paraId="768B9592"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62%</w:t>
            </w:r>
          </w:p>
        </w:tc>
        <w:tc>
          <w:tcPr>
            <w:tcW w:w="991" w:type="dxa"/>
            <w:tcBorders>
              <w:top w:val="nil"/>
              <w:left w:val="nil"/>
              <w:bottom w:val="single" w:sz="4" w:space="0" w:color="BFBFBF"/>
              <w:right w:val="single" w:sz="4" w:space="0" w:color="BFBFBF"/>
            </w:tcBorders>
            <w:noWrap/>
            <w:vAlign w:val="bottom"/>
            <w:hideMark/>
          </w:tcPr>
          <w:p w14:paraId="63F60217"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31%</w:t>
            </w:r>
          </w:p>
        </w:tc>
        <w:tc>
          <w:tcPr>
            <w:tcW w:w="1400" w:type="dxa"/>
            <w:tcBorders>
              <w:top w:val="nil"/>
              <w:left w:val="nil"/>
              <w:bottom w:val="single" w:sz="4" w:space="0" w:color="BFBFBF"/>
              <w:right w:val="single" w:sz="4" w:space="0" w:color="BFBFBF"/>
            </w:tcBorders>
            <w:noWrap/>
            <w:vAlign w:val="bottom"/>
            <w:hideMark/>
          </w:tcPr>
          <w:p w14:paraId="6FBB1687"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7%</w:t>
            </w:r>
          </w:p>
        </w:tc>
      </w:tr>
      <w:tr w:rsidR="00C723D7" w:rsidRPr="00C723D7" w14:paraId="6D113500"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2483804C"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Band 8b</w:t>
            </w:r>
          </w:p>
        </w:tc>
        <w:tc>
          <w:tcPr>
            <w:tcW w:w="993" w:type="dxa"/>
            <w:tcBorders>
              <w:top w:val="nil"/>
              <w:left w:val="nil"/>
              <w:bottom w:val="single" w:sz="4" w:space="0" w:color="BFBFBF"/>
              <w:right w:val="single" w:sz="4" w:space="0" w:color="BFBFBF"/>
            </w:tcBorders>
            <w:noWrap/>
            <w:vAlign w:val="bottom"/>
            <w:hideMark/>
          </w:tcPr>
          <w:p w14:paraId="63DDB6DA"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69%</w:t>
            </w:r>
          </w:p>
        </w:tc>
        <w:tc>
          <w:tcPr>
            <w:tcW w:w="991" w:type="dxa"/>
            <w:tcBorders>
              <w:top w:val="nil"/>
              <w:left w:val="nil"/>
              <w:bottom w:val="single" w:sz="4" w:space="0" w:color="BFBFBF"/>
              <w:right w:val="single" w:sz="4" w:space="0" w:color="BFBFBF"/>
            </w:tcBorders>
            <w:noWrap/>
            <w:vAlign w:val="bottom"/>
            <w:hideMark/>
          </w:tcPr>
          <w:p w14:paraId="4BBCC1D4"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24%</w:t>
            </w:r>
          </w:p>
        </w:tc>
        <w:tc>
          <w:tcPr>
            <w:tcW w:w="1400" w:type="dxa"/>
            <w:tcBorders>
              <w:top w:val="nil"/>
              <w:left w:val="nil"/>
              <w:bottom w:val="single" w:sz="4" w:space="0" w:color="BFBFBF"/>
              <w:right w:val="single" w:sz="4" w:space="0" w:color="BFBFBF"/>
            </w:tcBorders>
            <w:noWrap/>
            <w:vAlign w:val="bottom"/>
            <w:hideMark/>
          </w:tcPr>
          <w:p w14:paraId="2364CCCA"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7%</w:t>
            </w:r>
          </w:p>
        </w:tc>
      </w:tr>
      <w:tr w:rsidR="00C723D7" w:rsidRPr="00C723D7" w14:paraId="41B043BE"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482B361D"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Band 8c</w:t>
            </w:r>
          </w:p>
        </w:tc>
        <w:tc>
          <w:tcPr>
            <w:tcW w:w="993" w:type="dxa"/>
            <w:tcBorders>
              <w:top w:val="nil"/>
              <w:left w:val="nil"/>
              <w:bottom w:val="single" w:sz="4" w:space="0" w:color="BFBFBF"/>
              <w:right w:val="single" w:sz="4" w:space="0" w:color="BFBFBF"/>
            </w:tcBorders>
            <w:noWrap/>
            <w:vAlign w:val="bottom"/>
            <w:hideMark/>
          </w:tcPr>
          <w:p w14:paraId="3CC7CCC7"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75%</w:t>
            </w:r>
          </w:p>
        </w:tc>
        <w:tc>
          <w:tcPr>
            <w:tcW w:w="991" w:type="dxa"/>
            <w:tcBorders>
              <w:top w:val="nil"/>
              <w:left w:val="nil"/>
              <w:bottom w:val="single" w:sz="4" w:space="0" w:color="BFBFBF"/>
              <w:right w:val="single" w:sz="4" w:space="0" w:color="BFBFBF"/>
            </w:tcBorders>
            <w:noWrap/>
            <w:vAlign w:val="bottom"/>
            <w:hideMark/>
          </w:tcPr>
          <w:p w14:paraId="5807CAC1"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23%</w:t>
            </w:r>
          </w:p>
        </w:tc>
        <w:tc>
          <w:tcPr>
            <w:tcW w:w="1400" w:type="dxa"/>
            <w:tcBorders>
              <w:top w:val="nil"/>
              <w:left w:val="nil"/>
              <w:bottom w:val="single" w:sz="4" w:space="0" w:color="BFBFBF"/>
              <w:right w:val="single" w:sz="4" w:space="0" w:color="BFBFBF"/>
            </w:tcBorders>
            <w:noWrap/>
            <w:vAlign w:val="bottom"/>
            <w:hideMark/>
          </w:tcPr>
          <w:p w14:paraId="3DFA2D7F"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w:t>
            </w:r>
          </w:p>
        </w:tc>
      </w:tr>
      <w:tr w:rsidR="00C723D7" w:rsidRPr="00C723D7" w14:paraId="3F7ABA81"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2223AB5D"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Band 8d</w:t>
            </w:r>
          </w:p>
        </w:tc>
        <w:tc>
          <w:tcPr>
            <w:tcW w:w="993" w:type="dxa"/>
            <w:tcBorders>
              <w:top w:val="nil"/>
              <w:left w:val="nil"/>
              <w:bottom w:val="single" w:sz="4" w:space="0" w:color="BFBFBF"/>
              <w:right w:val="single" w:sz="4" w:space="0" w:color="BFBFBF"/>
            </w:tcBorders>
            <w:noWrap/>
            <w:vAlign w:val="bottom"/>
            <w:hideMark/>
          </w:tcPr>
          <w:p w14:paraId="4D71D25F"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72%</w:t>
            </w:r>
          </w:p>
        </w:tc>
        <w:tc>
          <w:tcPr>
            <w:tcW w:w="991" w:type="dxa"/>
            <w:tcBorders>
              <w:top w:val="nil"/>
              <w:left w:val="nil"/>
              <w:bottom w:val="single" w:sz="4" w:space="0" w:color="BFBFBF"/>
              <w:right w:val="single" w:sz="4" w:space="0" w:color="BFBFBF"/>
            </w:tcBorders>
            <w:noWrap/>
            <w:vAlign w:val="bottom"/>
            <w:hideMark/>
          </w:tcPr>
          <w:p w14:paraId="22A05A35"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16%</w:t>
            </w:r>
          </w:p>
        </w:tc>
        <w:tc>
          <w:tcPr>
            <w:tcW w:w="1400" w:type="dxa"/>
            <w:tcBorders>
              <w:top w:val="nil"/>
              <w:left w:val="nil"/>
              <w:bottom w:val="single" w:sz="4" w:space="0" w:color="BFBFBF"/>
              <w:right w:val="single" w:sz="4" w:space="0" w:color="BFBFBF"/>
            </w:tcBorders>
            <w:noWrap/>
            <w:vAlign w:val="bottom"/>
            <w:hideMark/>
          </w:tcPr>
          <w:p w14:paraId="7CB178F8"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12%</w:t>
            </w:r>
          </w:p>
        </w:tc>
      </w:tr>
      <w:tr w:rsidR="00C723D7" w:rsidRPr="00C723D7" w14:paraId="41722E56"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6251BCCE"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Band 9</w:t>
            </w:r>
          </w:p>
        </w:tc>
        <w:tc>
          <w:tcPr>
            <w:tcW w:w="993" w:type="dxa"/>
            <w:tcBorders>
              <w:top w:val="nil"/>
              <w:left w:val="nil"/>
              <w:bottom w:val="single" w:sz="4" w:space="0" w:color="BFBFBF"/>
              <w:right w:val="single" w:sz="4" w:space="0" w:color="BFBFBF"/>
            </w:tcBorders>
            <w:noWrap/>
            <w:vAlign w:val="bottom"/>
            <w:hideMark/>
          </w:tcPr>
          <w:p w14:paraId="74C511C9"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78%</w:t>
            </w:r>
          </w:p>
        </w:tc>
        <w:tc>
          <w:tcPr>
            <w:tcW w:w="991" w:type="dxa"/>
            <w:tcBorders>
              <w:top w:val="nil"/>
              <w:left w:val="nil"/>
              <w:bottom w:val="single" w:sz="4" w:space="0" w:color="BFBFBF"/>
              <w:right w:val="single" w:sz="4" w:space="0" w:color="BFBFBF"/>
            </w:tcBorders>
            <w:noWrap/>
            <w:vAlign w:val="bottom"/>
            <w:hideMark/>
          </w:tcPr>
          <w:p w14:paraId="47483BE3"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17%</w:t>
            </w:r>
          </w:p>
        </w:tc>
        <w:tc>
          <w:tcPr>
            <w:tcW w:w="1400" w:type="dxa"/>
            <w:tcBorders>
              <w:top w:val="nil"/>
              <w:left w:val="nil"/>
              <w:bottom w:val="single" w:sz="4" w:space="0" w:color="BFBFBF"/>
              <w:right w:val="single" w:sz="4" w:space="0" w:color="BFBFBF"/>
            </w:tcBorders>
            <w:noWrap/>
            <w:vAlign w:val="bottom"/>
            <w:hideMark/>
          </w:tcPr>
          <w:p w14:paraId="392E54A6"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6%</w:t>
            </w:r>
          </w:p>
        </w:tc>
      </w:tr>
      <w:tr w:rsidR="00C723D7" w:rsidRPr="00C723D7" w14:paraId="4F9F8400"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54685E66"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Medical &amp; Dental Consultant</w:t>
            </w:r>
          </w:p>
        </w:tc>
        <w:tc>
          <w:tcPr>
            <w:tcW w:w="993" w:type="dxa"/>
            <w:tcBorders>
              <w:top w:val="nil"/>
              <w:left w:val="nil"/>
              <w:bottom w:val="single" w:sz="4" w:space="0" w:color="BFBFBF"/>
              <w:right w:val="single" w:sz="4" w:space="0" w:color="BFBFBF"/>
            </w:tcBorders>
            <w:noWrap/>
            <w:vAlign w:val="bottom"/>
            <w:hideMark/>
          </w:tcPr>
          <w:p w14:paraId="42FA61FF"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23%</w:t>
            </w:r>
          </w:p>
        </w:tc>
        <w:tc>
          <w:tcPr>
            <w:tcW w:w="991" w:type="dxa"/>
            <w:tcBorders>
              <w:top w:val="nil"/>
              <w:left w:val="nil"/>
              <w:bottom w:val="single" w:sz="4" w:space="0" w:color="BFBFBF"/>
              <w:right w:val="single" w:sz="4" w:space="0" w:color="BFBFBF"/>
            </w:tcBorders>
            <w:noWrap/>
            <w:vAlign w:val="bottom"/>
            <w:hideMark/>
          </w:tcPr>
          <w:p w14:paraId="1A8E3F8B"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71%</w:t>
            </w:r>
          </w:p>
        </w:tc>
        <w:tc>
          <w:tcPr>
            <w:tcW w:w="1400" w:type="dxa"/>
            <w:tcBorders>
              <w:top w:val="nil"/>
              <w:left w:val="nil"/>
              <w:bottom w:val="single" w:sz="4" w:space="0" w:color="BFBFBF"/>
              <w:right w:val="single" w:sz="4" w:space="0" w:color="BFBFBF"/>
            </w:tcBorders>
            <w:noWrap/>
            <w:vAlign w:val="bottom"/>
            <w:hideMark/>
          </w:tcPr>
          <w:p w14:paraId="5E286B0C"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7%</w:t>
            </w:r>
          </w:p>
        </w:tc>
      </w:tr>
      <w:tr w:rsidR="00C723D7" w:rsidRPr="00C723D7" w14:paraId="2F218ACB"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3597C945"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Medical &amp; Dental Non-Consultant Career Grade</w:t>
            </w:r>
          </w:p>
        </w:tc>
        <w:tc>
          <w:tcPr>
            <w:tcW w:w="993" w:type="dxa"/>
            <w:tcBorders>
              <w:top w:val="nil"/>
              <w:left w:val="nil"/>
              <w:bottom w:val="single" w:sz="4" w:space="0" w:color="BFBFBF"/>
              <w:right w:val="single" w:sz="4" w:space="0" w:color="BFBFBF"/>
            </w:tcBorders>
            <w:noWrap/>
            <w:vAlign w:val="bottom"/>
            <w:hideMark/>
          </w:tcPr>
          <w:p w14:paraId="1B112AAB"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12%</w:t>
            </w:r>
          </w:p>
        </w:tc>
        <w:tc>
          <w:tcPr>
            <w:tcW w:w="991" w:type="dxa"/>
            <w:tcBorders>
              <w:top w:val="nil"/>
              <w:left w:val="nil"/>
              <w:bottom w:val="single" w:sz="4" w:space="0" w:color="BFBFBF"/>
              <w:right w:val="single" w:sz="4" w:space="0" w:color="BFBFBF"/>
            </w:tcBorders>
            <w:noWrap/>
            <w:vAlign w:val="bottom"/>
            <w:hideMark/>
          </w:tcPr>
          <w:p w14:paraId="7C9EAA59"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72%</w:t>
            </w:r>
          </w:p>
        </w:tc>
        <w:tc>
          <w:tcPr>
            <w:tcW w:w="1400" w:type="dxa"/>
            <w:tcBorders>
              <w:top w:val="nil"/>
              <w:left w:val="nil"/>
              <w:bottom w:val="single" w:sz="4" w:space="0" w:color="BFBFBF"/>
              <w:right w:val="single" w:sz="4" w:space="0" w:color="BFBFBF"/>
            </w:tcBorders>
            <w:noWrap/>
            <w:vAlign w:val="bottom"/>
            <w:hideMark/>
          </w:tcPr>
          <w:p w14:paraId="6DFA1C6E"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16%</w:t>
            </w:r>
          </w:p>
        </w:tc>
      </w:tr>
      <w:tr w:rsidR="00C723D7" w:rsidRPr="00C723D7" w14:paraId="5799DFEF"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34D657B4"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Medical &amp; Dental Trainee Grades</w:t>
            </w:r>
          </w:p>
        </w:tc>
        <w:tc>
          <w:tcPr>
            <w:tcW w:w="993" w:type="dxa"/>
            <w:tcBorders>
              <w:top w:val="nil"/>
              <w:left w:val="nil"/>
              <w:bottom w:val="single" w:sz="4" w:space="0" w:color="BFBFBF"/>
              <w:right w:val="single" w:sz="4" w:space="0" w:color="BFBFBF"/>
            </w:tcBorders>
            <w:noWrap/>
            <w:vAlign w:val="bottom"/>
            <w:hideMark/>
          </w:tcPr>
          <w:p w14:paraId="1DEF5295"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17%</w:t>
            </w:r>
          </w:p>
        </w:tc>
        <w:tc>
          <w:tcPr>
            <w:tcW w:w="991" w:type="dxa"/>
            <w:tcBorders>
              <w:top w:val="nil"/>
              <w:left w:val="nil"/>
              <w:bottom w:val="single" w:sz="4" w:space="0" w:color="BFBFBF"/>
              <w:right w:val="single" w:sz="4" w:space="0" w:color="BFBFBF"/>
            </w:tcBorders>
            <w:noWrap/>
            <w:vAlign w:val="bottom"/>
            <w:hideMark/>
          </w:tcPr>
          <w:p w14:paraId="013FEED5"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55%</w:t>
            </w:r>
          </w:p>
        </w:tc>
        <w:tc>
          <w:tcPr>
            <w:tcW w:w="1400" w:type="dxa"/>
            <w:tcBorders>
              <w:top w:val="nil"/>
              <w:left w:val="nil"/>
              <w:bottom w:val="single" w:sz="4" w:space="0" w:color="BFBFBF"/>
              <w:right w:val="single" w:sz="4" w:space="0" w:color="BFBFBF"/>
            </w:tcBorders>
            <w:noWrap/>
            <w:vAlign w:val="bottom"/>
            <w:hideMark/>
          </w:tcPr>
          <w:p w14:paraId="0CBA068C"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28%</w:t>
            </w:r>
          </w:p>
        </w:tc>
      </w:tr>
      <w:tr w:rsidR="00C723D7" w:rsidRPr="00C723D7" w14:paraId="580A7F0A"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4530A635" w14:textId="77777777" w:rsidR="00C723D7" w:rsidRPr="00640056" w:rsidRDefault="00C723D7" w:rsidP="00C723D7">
            <w:pPr>
              <w:spacing w:after="0"/>
              <w:ind w:left="0"/>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OTHER</w:t>
            </w:r>
          </w:p>
        </w:tc>
        <w:tc>
          <w:tcPr>
            <w:tcW w:w="993" w:type="dxa"/>
            <w:tcBorders>
              <w:top w:val="nil"/>
              <w:left w:val="nil"/>
              <w:bottom w:val="single" w:sz="4" w:space="0" w:color="BFBFBF"/>
              <w:right w:val="single" w:sz="4" w:space="0" w:color="BFBFBF"/>
            </w:tcBorders>
            <w:noWrap/>
            <w:vAlign w:val="bottom"/>
            <w:hideMark/>
          </w:tcPr>
          <w:p w14:paraId="76652142"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21%</w:t>
            </w:r>
          </w:p>
        </w:tc>
        <w:tc>
          <w:tcPr>
            <w:tcW w:w="991" w:type="dxa"/>
            <w:tcBorders>
              <w:top w:val="nil"/>
              <w:left w:val="nil"/>
              <w:bottom w:val="single" w:sz="4" w:space="0" w:color="BFBFBF"/>
              <w:right w:val="single" w:sz="4" w:space="0" w:color="BFBFBF"/>
            </w:tcBorders>
            <w:noWrap/>
            <w:vAlign w:val="bottom"/>
            <w:hideMark/>
          </w:tcPr>
          <w:p w14:paraId="20B9D14C"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55%</w:t>
            </w:r>
          </w:p>
        </w:tc>
        <w:tc>
          <w:tcPr>
            <w:tcW w:w="1400" w:type="dxa"/>
            <w:tcBorders>
              <w:top w:val="nil"/>
              <w:left w:val="nil"/>
              <w:bottom w:val="single" w:sz="4" w:space="0" w:color="BFBFBF"/>
              <w:right w:val="single" w:sz="4" w:space="0" w:color="BFBFBF"/>
            </w:tcBorders>
            <w:noWrap/>
            <w:vAlign w:val="bottom"/>
            <w:hideMark/>
          </w:tcPr>
          <w:p w14:paraId="139F0EE1" w14:textId="77777777" w:rsidR="00C723D7" w:rsidRPr="00640056" w:rsidRDefault="00C723D7" w:rsidP="00C723D7">
            <w:pPr>
              <w:spacing w:after="0"/>
              <w:ind w:left="0"/>
              <w:jc w:val="right"/>
              <w:rPr>
                <w:rFonts w:ascii="Calibri" w:eastAsia="Times New Roman" w:hAnsi="Calibri" w:cs="Calibri"/>
                <w:color w:val="000000"/>
                <w:kern w:val="0"/>
                <w:sz w:val="20"/>
                <w:szCs w:val="20"/>
                <w:lang w:eastAsia="en-GB"/>
                <w14:ligatures w14:val="none"/>
              </w:rPr>
            </w:pPr>
            <w:r w:rsidRPr="00640056">
              <w:rPr>
                <w:rFonts w:ascii="Calibri" w:eastAsia="Times New Roman" w:hAnsi="Calibri" w:cs="Calibri"/>
                <w:color w:val="000000"/>
                <w:kern w:val="0"/>
                <w:sz w:val="20"/>
                <w:szCs w:val="20"/>
                <w:lang w:eastAsia="en-GB"/>
                <w14:ligatures w14:val="none"/>
              </w:rPr>
              <w:t>24%</w:t>
            </w:r>
          </w:p>
        </w:tc>
      </w:tr>
      <w:tr w:rsidR="00C723D7" w:rsidRPr="00C723D7" w14:paraId="2CC664CA" w14:textId="77777777" w:rsidTr="0090308F">
        <w:trPr>
          <w:trHeight w:val="290"/>
        </w:trPr>
        <w:tc>
          <w:tcPr>
            <w:tcW w:w="4771" w:type="dxa"/>
            <w:tcBorders>
              <w:top w:val="nil"/>
              <w:left w:val="single" w:sz="4" w:space="0" w:color="BFBFBF"/>
              <w:bottom w:val="single" w:sz="4" w:space="0" w:color="BFBFBF"/>
              <w:right w:val="single" w:sz="4" w:space="0" w:color="BFBFBF"/>
            </w:tcBorders>
            <w:noWrap/>
            <w:vAlign w:val="bottom"/>
            <w:hideMark/>
          </w:tcPr>
          <w:p w14:paraId="25B89068" w14:textId="77777777" w:rsidR="00C723D7" w:rsidRPr="00640056" w:rsidRDefault="00C723D7" w:rsidP="00C723D7">
            <w:pPr>
              <w:spacing w:after="0"/>
              <w:ind w:left="0"/>
              <w:rPr>
                <w:rFonts w:ascii="Calibri" w:eastAsia="Times New Roman" w:hAnsi="Calibri" w:cs="Calibri"/>
                <w:color w:val="000000"/>
                <w:kern w:val="0"/>
                <w:sz w:val="22"/>
                <w:szCs w:val="22"/>
                <w:lang w:eastAsia="en-GB"/>
                <w14:ligatures w14:val="none"/>
              </w:rPr>
            </w:pPr>
            <w:r w:rsidRPr="00640056">
              <w:rPr>
                <w:rFonts w:ascii="Calibri" w:eastAsia="Times New Roman" w:hAnsi="Calibri" w:cs="Calibri"/>
                <w:color w:val="000000"/>
                <w:kern w:val="0"/>
                <w:sz w:val="22"/>
                <w:szCs w:val="22"/>
                <w:lang w:eastAsia="en-GB"/>
                <w14:ligatures w14:val="none"/>
              </w:rPr>
              <w:t>VSM</w:t>
            </w:r>
          </w:p>
        </w:tc>
        <w:tc>
          <w:tcPr>
            <w:tcW w:w="993" w:type="dxa"/>
            <w:tcBorders>
              <w:top w:val="nil"/>
              <w:left w:val="nil"/>
              <w:bottom w:val="single" w:sz="4" w:space="0" w:color="BFBFBF"/>
              <w:right w:val="single" w:sz="4" w:space="0" w:color="BFBFBF"/>
            </w:tcBorders>
            <w:noWrap/>
            <w:vAlign w:val="bottom"/>
            <w:hideMark/>
          </w:tcPr>
          <w:p w14:paraId="34889D3B" w14:textId="77777777" w:rsidR="00C723D7" w:rsidRPr="00640056" w:rsidRDefault="00C723D7" w:rsidP="00C723D7">
            <w:pPr>
              <w:spacing w:after="0"/>
              <w:ind w:left="0"/>
              <w:jc w:val="right"/>
              <w:rPr>
                <w:rFonts w:ascii="Calibri" w:eastAsia="Times New Roman" w:hAnsi="Calibri" w:cs="Calibri"/>
                <w:color w:val="000000"/>
                <w:kern w:val="0"/>
                <w:sz w:val="22"/>
                <w:szCs w:val="22"/>
                <w:lang w:eastAsia="en-GB"/>
                <w14:ligatures w14:val="none"/>
              </w:rPr>
            </w:pPr>
            <w:r w:rsidRPr="00640056">
              <w:rPr>
                <w:rFonts w:ascii="Calibri" w:eastAsia="Times New Roman" w:hAnsi="Calibri" w:cs="Calibri"/>
                <w:color w:val="000000"/>
                <w:kern w:val="0"/>
                <w:sz w:val="22"/>
                <w:szCs w:val="22"/>
                <w:lang w:eastAsia="en-GB"/>
                <w14:ligatures w14:val="none"/>
              </w:rPr>
              <w:t>80%</w:t>
            </w:r>
          </w:p>
        </w:tc>
        <w:tc>
          <w:tcPr>
            <w:tcW w:w="991" w:type="dxa"/>
            <w:tcBorders>
              <w:top w:val="nil"/>
              <w:left w:val="nil"/>
              <w:bottom w:val="single" w:sz="4" w:space="0" w:color="BFBFBF"/>
              <w:right w:val="single" w:sz="4" w:space="0" w:color="BFBFBF"/>
            </w:tcBorders>
            <w:noWrap/>
            <w:vAlign w:val="bottom"/>
            <w:hideMark/>
          </w:tcPr>
          <w:p w14:paraId="7804A3CB" w14:textId="77777777" w:rsidR="00C723D7" w:rsidRPr="00640056" w:rsidRDefault="00C723D7" w:rsidP="00C723D7">
            <w:pPr>
              <w:spacing w:after="0"/>
              <w:ind w:left="0"/>
              <w:jc w:val="right"/>
              <w:rPr>
                <w:rFonts w:ascii="Calibri" w:eastAsia="Times New Roman" w:hAnsi="Calibri" w:cs="Calibri"/>
                <w:color w:val="000000"/>
                <w:kern w:val="0"/>
                <w:sz w:val="22"/>
                <w:szCs w:val="22"/>
                <w:lang w:eastAsia="en-GB"/>
                <w14:ligatures w14:val="none"/>
              </w:rPr>
            </w:pPr>
            <w:r w:rsidRPr="00640056">
              <w:rPr>
                <w:rFonts w:ascii="Calibri" w:eastAsia="Times New Roman" w:hAnsi="Calibri" w:cs="Calibri"/>
                <w:color w:val="000000"/>
                <w:kern w:val="0"/>
                <w:sz w:val="22"/>
                <w:szCs w:val="22"/>
                <w:lang w:eastAsia="en-GB"/>
                <w14:ligatures w14:val="none"/>
              </w:rPr>
              <w:t>20%</w:t>
            </w:r>
          </w:p>
        </w:tc>
        <w:tc>
          <w:tcPr>
            <w:tcW w:w="1400" w:type="dxa"/>
            <w:tcBorders>
              <w:top w:val="nil"/>
              <w:left w:val="nil"/>
              <w:bottom w:val="single" w:sz="4" w:space="0" w:color="BFBFBF"/>
              <w:right w:val="single" w:sz="4" w:space="0" w:color="BFBFBF"/>
            </w:tcBorders>
            <w:noWrap/>
            <w:vAlign w:val="bottom"/>
            <w:hideMark/>
          </w:tcPr>
          <w:p w14:paraId="650C87E6" w14:textId="77777777" w:rsidR="00C723D7" w:rsidRPr="00640056" w:rsidRDefault="00C723D7" w:rsidP="00C723D7">
            <w:pPr>
              <w:spacing w:after="0"/>
              <w:ind w:left="0"/>
              <w:jc w:val="right"/>
              <w:rPr>
                <w:rFonts w:ascii="Calibri" w:eastAsia="Times New Roman" w:hAnsi="Calibri" w:cs="Calibri"/>
                <w:color w:val="000000"/>
                <w:kern w:val="0"/>
                <w:sz w:val="22"/>
                <w:szCs w:val="22"/>
                <w:lang w:eastAsia="en-GB"/>
                <w14:ligatures w14:val="none"/>
              </w:rPr>
            </w:pPr>
            <w:r w:rsidRPr="00640056">
              <w:rPr>
                <w:rFonts w:ascii="Calibri" w:eastAsia="Times New Roman" w:hAnsi="Calibri" w:cs="Calibri"/>
                <w:color w:val="000000"/>
                <w:kern w:val="0"/>
                <w:sz w:val="22"/>
                <w:szCs w:val="22"/>
                <w:lang w:eastAsia="en-GB"/>
                <w14:ligatures w14:val="none"/>
              </w:rPr>
              <w:t>0%</w:t>
            </w:r>
          </w:p>
        </w:tc>
      </w:tr>
    </w:tbl>
    <w:p w14:paraId="3E8FDEE5" w14:textId="77777777" w:rsidR="00DF268B" w:rsidRDefault="00DF268B" w:rsidP="00EE66CA">
      <w:pPr>
        <w:pStyle w:val="NormalWeb"/>
        <w:spacing w:before="0" w:beforeAutospacing="0" w:after="0" w:afterAutospacing="0"/>
        <w:rPr>
          <w:rFonts w:ascii="Calibri" w:hAnsi="Calibri" w:cs="Calibri"/>
        </w:rPr>
      </w:pPr>
    </w:p>
    <w:p w14:paraId="69533E26" w14:textId="77777777" w:rsidR="00DF268B" w:rsidRDefault="00DF268B" w:rsidP="00EE66CA">
      <w:pPr>
        <w:pStyle w:val="NormalWeb"/>
        <w:spacing w:before="0" w:beforeAutospacing="0" w:after="0" w:afterAutospacing="0"/>
        <w:rPr>
          <w:rFonts w:ascii="Calibri" w:hAnsi="Calibri" w:cs="Calibri"/>
        </w:rPr>
      </w:pPr>
    </w:p>
    <w:p w14:paraId="663F7D01" w14:textId="77777777" w:rsidR="00F9112A" w:rsidRDefault="00DF268B" w:rsidP="00DF268B">
      <w:pPr>
        <w:pStyle w:val="NormalWeb"/>
        <w:spacing w:before="0" w:beforeAutospacing="0" w:after="0" w:afterAutospacing="0"/>
        <w:ind w:left="-737"/>
        <w:rPr>
          <w:rFonts w:ascii="Calibri" w:hAnsi="Calibri" w:cs="Calibri"/>
        </w:rPr>
      </w:pPr>
      <w:r>
        <w:rPr>
          <w:rFonts w:ascii="Calibri" w:hAnsi="Calibri" w:cs="Calibri"/>
        </w:rPr>
        <w:t xml:space="preserve">        5.6       </w:t>
      </w:r>
      <w:r w:rsidR="004B2699">
        <w:rPr>
          <w:rFonts w:ascii="Calibri" w:hAnsi="Calibri" w:cs="Calibri"/>
        </w:rPr>
        <w:t xml:space="preserve">Figure 5.6.1 shows </w:t>
      </w:r>
      <w:r w:rsidR="00963D30">
        <w:rPr>
          <w:rFonts w:ascii="Calibri" w:hAnsi="Calibri" w:cs="Calibri"/>
        </w:rPr>
        <w:t>the distribution of BME Staff within the pay quartiles.</w:t>
      </w:r>
      <w:r w:rsidR="00F63FA7">
        <w:rPr>
          <w:rFonts w:ascii="Calibri" w:hAnsi="Calibri" w:cs="Calibri"/>
        </w:rPr>
        <w:t xml:space="preserve"> Th</w:t>
      </w:r>
      <w:r w:rsidR="00F9112A">
        <w:rPr>
          <w:rFonts w:ascii="Calibri" w:hAnsi="Calibri" w:cs="Calibri"/>
        </w:rPr>
        <w:t xml:space="preserve">e data </w:t>
      </w:r>
    </w:p>
    <w:p w14:paraId="6902B019" w14:textId="26E2B4EC" w:rsidR="00F9112A" w:rsidRDefault="00F9112A" w:rsidP="00DF268B">
      <w:pPr>
        <w:pStyle w:val="NormalWeb"/>
        <w:spacing w:before="0" w:beforeAutospacing="0" w:after="0" w:afterAutospacing="0"/>
        <w:ind w:left="-737"/>
        <w:rPr>
          <w:rFonts w:ascii="Calibri" w:hAnsi="Calibri" w:cs="Calibri"/>
        </w:rPr>
      </w:pPr>
      <w:r>
        <w:rPr>
          <w:rFonts w:ascii="Calibri" w:hAnsi="Calibri" w:cs="Calibri"/>
        </w:rPr>
        <w:t xml:space="preserve">                     illustrates that the </w:t>
      </w:r>
      <w:r w:rsidR="00F63FA7">
        <w:rPr>
          <w:rFonts w:ascii="Calibri" w:hAnsi="Calibri" w:cs="Calibri"/>
        </w:rPr>
        <w:t xml:space="preserve">proportion of BME staff in the </w:t>
      </w:r>
      <w:r>
        <w:rPr>
          <w:rFonts w:ascii="Calibri" w:hAnsi="Calibri" w:cs="Calibri"/>
        </w:rPr>
        <w:t xml:space="preserve">pay </w:t>
      </w:r>
      <w:r w:rsidR="002211FA">
        <w:rPr>
          <w:rFonts w:ascii="Calibri" w:hAnsi="Calibri" w:cs="Calibri"/>
        </w:rPr>
        <w:t>quartiles</w:t>
      </w:r>
      <w:r>
        <w:rPr>
          <w:rFonts w:ascii="Calibri" w:hAnsi="Calibri" w:cs="Calibri"/>
        </w:rPr>
        <w:t xml:space="preserve"> 3 and 4 is almost 10% </w:t>
      </w:r>
    </w:p>
    <w:p w14:paraId="0DF1871A" w14:textId="62438937" w:rsidR="00F9112A" w:rsidRDefault="00F9112A" w:rsidP="00DF268B">
      <w:pPr>
        <w:pStyle w:val="NormalWeb"/>
        <w:spacing w:before="0" w:beforeAutospacing="0" w:after="0" w:afterAutospacing="0"/>
        <w:ind w:left="-737"/>
        <w:rPr>
          <w:rFonts w:ascii="Calibri" w:hAnsi="Calibri" w:cs="Calibri"/>
        </w:rPr>
      </w:pPr>
      <w:r>
        <w:rPr>
          <w:rFonts w:ascii="Calibri" w:hAnsi="Calibri" w:cs="Calibri"/>
        </w:rPr>
        <w:t xml:space="preserve">                     higher when compared to white colleagues, however</w:t>
      </w:r>
      <w:r w:rsidR="002211FA">
        <w:rPr>
          <w:rFonts w:ascii="Calibri" w:hAnsi="Calibri" w:cs="Calibri"/>
        </w:rPr>
        <w:t>,</w:t>
      </w:r>
      <w:r>
        <w:rPr>
          <w:rFonts w:ascii="Calibri" w:hAnsi="Calibri" w:cs="Calibri"/>
        </w:rPr>
        <w:t xml:space="preserve"> there is a nominal percentage </w:t>
      </w:r>
    </w:p>
    <w:p w14:paraId="092A5BCC" w14:textId="607FDAC2" w:rsidR="002211FA" w:rsidRDefault="00F9112A" w:rsidP="00DF268B">
      <w:pPr>
        <w:pStyle w:val="NormalWeb"/>
        <w:spacing w:before="0" w:beforeAutospacing="0" w:after="0" w:afterAutospacing="0"/>
        <w:ind w:left="-737"/>
        <w:rPr>
          <w:rFonts w:ascii="Calibri" w:hAnsi="Calibri" w:cs="Calibri"/>
        </w:rPr>
      </w:pPr>
      <w:r>
        <w:rPr>
          <w:rFonts w:ascii="Calibri" w:hAnsi="Calibri" w:cs="Calibri"/>
        </w:rPr>
        <w:t xml:space="preserve">                     difference when comparing white staff and BME staff in Q4</w:t>
      </w:r>
      <w:r w:rsidR="002211FA">
        <w:rPr>
          <w:rFonts w:ascii="Calibri" w:hAnsi="Calibri" w:cs="Calibri"/>
        </w:rPr>
        <w:t>,</w:t>
      </w:r>
      <w:r>
        <w:rPr>
          <w:rFonts w:ascii="Calibri" w:hAnsi="Calibri" w:cs="Calibri"/>
        </w:rPr>
        <w:t xml:space="preserve"> the higher pay </w:t>
      </w:r>
    </w:p>
    <w:p w14:paraId="23DAE3B6" w14:textId="2A3BC3CC" w:rsidR="002211FA" w:rsidRDefault="002211FA" w:rsidP="002211FA">
      <w:pPr>
        <w:pStyle w:val="NormalWeb"/>
        <w:spacing w:before="0" w:beforeAutospacing="0" w:after="0" w:afterAutospacing="0"/>
        <w:ind w:left="-737"/>
        <w:rPr>
          <w:rFonts w:ascii="Calibri" w:hAnsi="Calibri" w:cs="Calibri"/>
        </w:rPr>
      </w:pPr>
      <w:r>
        <w:rPr>
          <w:rFonts w:ascii="Calibri" w:hAnsi="Calibri" w:cs="Calibri"/>
        </w:rPr>
        <w:t xml:space="preserve">                     quartiles.  This</w:t>
      </w:r>
      <w:r w:rsidR="00F9112A">
        <w:rPr>
          <w:rFonts w:ascii="Calibri" w:hAnsi="Calibri" w:cs="Calibri"/>
        </w:rPr>
        <w:t xml:space="preserve"> is due to a large proportion of Asian colleagues occupying medical and </w:t>
      </w:r>
    </w:p>
    <w:p w14:paraId="70151FB2" w14:textId="77777777" w:rsidR="002211FA" w:rsidRDefault="002211FA" w:rsidP="002211FA">
      <w:pPr>
        <w:pStyle w:val="NormalWeb"/>
        <w:spacing w:before="0" w:beforeAutospacing="0" w:after="0" w:afterAutospacing="0"/>
        <w:ind w:left="-737"/>
        <w:rPr>
          <w:rFonts w:ascii="Calibri" w:hAnsi="Calibri" w:cs="Calibri"/>
        </w:rPr>
      </w:pPr>
      <w:r>
        <w:rPr>
          <w:rFonts w:ascii="Calibri" w:hAnsi="Calibri" w:cs="Calibri"/>
        </w:rPr>
        <w:t xml:space="preserve">                     </w:t>
      </w:r>
      <w:r w:rsidR="00F9112A">
        <w:rPr>
          <w:rFonts w:ascii="Calibri" w:hAnsi="Calibri" w:cs="Calibri"/>
        </w:rPr>
        <w:t>dental roles who are paid more due to being on different terms and conditions (non-</w:t>
      </w:r>
    </w:p>
    <w:p w14:paraId="1BFBC93A" w14:textId="367B10AE" w:rsidR="00DF268B" w:rsidRDefault="002211FA" w:rsidP="002211FA">
      <w:pPr>
        <w:pStyle w:val="NormalWeb"/>
        <w:spacing w:before="0" w:beforeAutospacing="0" w:after="0" w:afterAutospacing="0"/>
        <w:ind w:left="-737"/>
        <w:rPr>
          <w:rFonts w:ascii="Calibri" w:hAnsi="Calibri" w:cs="Calibri"/>
        </w:rPr>
      </w:pPr>
      <w:r>
        <w:rPr>
          <w:rFonts w:ascii="Calibri" w:hAnsi="Calibri" w:cs="Calibri"/>
        </w:rPr>
        <w:t xml:space="preserve">                     </w:t>
      </w:r>
      <w:r w:rsidR="00F9112A">
        <w:rPr>
          <w:rFonts w:ascii="Calibri" w:hAnsi="Calibri" w:cs="Calibri"/>
        </w:rPr>
        <w:t>agenda for</w:t>
      </w:r>
      <w:r>
        <w:rPr>
          <w:rFonts w:ascii="Calibri" w:hAnsi="Calibri" w:cs="Calibri"/>
        </w:rPr>
        <w:t xml:space="preserve"> </w:t>
      </w:r>
      <w:r w:rsidR="00F9112A">
        <w:rPr>
          <w:rFonts w:ascii="Calibri" w:hAnsi="Calibri" w:cs="Calibri"/>
        </w:rPr>
        <w:t>change)</w:t>
      </w:r>
    </w:p>
    <w:p w14:paraId="408A7EFF" w14:textId="77777777" w:rsidR="00963D30" w:rsidRDefault="00963D30" w:rsidP="00DF268B">
      <w:pPr>
        <w:pStyle w:val="NormalWeb"/>
        <w:spacing w:before="0" w:beforeAutospacing="0" w:after="0" w:afterAutospacing="0"/>
        <w:ind w:left="-737"/>
        <w:rPr>
          <w:rFonts w:ascii="Calibri" w:hAnsi="Calibri" w:cs="Calibri"/>
        </w:rPr>
      </w:pPr>
    </w:p>
    <w:p w14:paraId="4D094F56" w14:textId="77777777" w:rsidR="00963D30" w:rsidRDefault="00963D30" w:rsidP="00DF268B">
      <w:pPr>
        <w:pStyle w:val="NormalWeb"/>
        <w:spacing w:before="0" w:beforeAutospacing="0" w:after="0" w:afterAutospacing="0"/>
        <w:ind w:left="-737"/>
        <w:rPr>
          <w:rFonts w:ascii="Calibri" w:hAnsi="Calibri" w:cs="Calibri"/>
        </w:rPr>
      </w:pPr>
      <w:r>
        <w:rPr>
          <w:rFonts w:ascii="Calibri" w:hAnsi="Calibri" w:cs="Calibri"/>
        </w:rPr>
        <w:t xml:space="preserve">                     </w:t>
      </w:r>
    </w:p>
    <w:tbl>
      <w:tblPr>
        <w:tblW w:w="7854" w:type="dxa"/>
        <w:tblInd w:w="426" w:type="dxa"/>
        <w:tblLook w:val="04A0" w:firstRow="1" w:lastRow="0" w:firstColumn="1" w:lastColumn="0" w:noHBand="0" w:noVBand="1"/>
      </w:tblPr>
      <w:tblGrid>
        <w:gridCol w:w="957"/>
        <w:gridCol w:w="1168"/>
        <w:gridCol w:w="1135"/>
        <w:gridCol w:w="1158"/>
        <w:gridCol w:w="1149"/>
        <w:gridCol w:w="1129"/>
        <w:gridCol w:w="1158"/>
      </w:tblGrid>
      <w:tr w:rsidR="00963D30" w:rsidRPr="00963D30" w14:paraId="2D97E75F" w14:textId="77777777" w:rsidTr="00963D30">
        <w:trPr>
          <w:trHeight w:val="290"/>
        </w:trPr>
        <w:tc>
          <w:tcPr>
            <w:tcW w:w="1801" w:type="dxa"/>
            <w:gridSpan w:val="2"/>
            <w:tcBorders>
              <w:top w:val="nil"/>
              <w:left w:val="nil"/>
              <w:bottom w:val="nil"/>
              <w:right w:val="nil"/>
            </w:tcBorders>
            <w:noWrap/>
            <w:vAlign w:val="bottom"/>
            <w:hideMark/>
          </w:tcPr>
          <w:p w14:paraId="7935868E" w14:textId="228C9052" w:rsidR="00963D30" w:rsidRPr="00963D30" w:rsidRDefault="00963D30" w:rsidP="00963D30">
            <w:pPr>
              <w:spacing w:after="0"/>
              <w:ind w:left="0"/>
              <w:rPr>
                <w:rFonts w:ascii="Aptos Narrow" w:eastAsia="Times New Roman" w:hAnsi="Aptos Narrow" w:cs="Times New Roman"/>
                <w:b/>
                <w:bCs/>
                <w:color w:val="000000"/>
                <w:kern w:val="0"/>
                <w:sz w:val="22"/>
                <w:szCs w:val="22"/>
                <w:lang w:eastAsia="en-GB"/>
                <w14:ligatures w14:val="none"/>
              </w:rPr>
            </w:pPr>
            <w:r w:rsidRPr="00963D30">
              <w:rPr>
                <w:rFonts w:ascii="Aptos Narrow" w:eastAsia="Times New Roman" w:hAnsi="Aptos Narrow" w:cs="Times New Roman"/>
                <w:b/>
                <w:bCs/>
                <w:color w:val="000000"/>
                <w:kern w:val="0"/>
                <w:sz w:val="22"/>
                <w:szCs w:val="22"/>
                <w:lang w:eastAsia="en-GB"/>
                <w14:ligatures w14:val="none"/>
              </w:rPr>
              <w:t>Ethnicity Quartile</w:t>
            </w:r>
            <w:r w:rsidR="00D74C53">
              <w:rPr>
                <w:rFonts w:ascii="Aptos Narrow" w:eastAsia="Times New Roman" w:hAnsi="Aptos Narrow" w:cs="Times New Roman"/>
                <w:b/>
                <w:bCs/>
                <w:color w:val="000000"/>
                <w:kern w:val="0"/>
                <w:sz w:val="22"/>
                <w:szCs w:val="22"/>
                <w:lang w:eastAsia="en-GB"/>
                <w14:ligatures w14:val="none"/>
              </w:rPr>
              <w:t xml:space="preserve"> </w:t>
            </w:r>
            <w:r w:rsidR="00640056">
              <w:rPr>
                <w:rFonts w:ascii="Aptos Narrow" w:eastAsia="Times New Roman" w:hAnsi="Aptos Narrow" w:cs="Times New Roman"/>
                <w:b/>
                <w:bCs/>
                <w:color w:val="000000"/>
                <w:kern w:val="0"/>
                <w:sz w:val="22"/>
                <w:szCs w:val="22"/>
                <w:lang w:eastAsia="en-GB"/>
                <w14:ligatures w14:val="none"/>
              </w:rPr>
              <w:t>Figure</w:t>
            </w:r>
            <w:r w:rsidR="00D74C53">
              <w:rPr>
                <w:rFonts w:ascii="Aptos Narrow" w:eastAsia="Times New Roman" w:hAnsi="Aptos Narrow" w:cs="Times New Roman"/>
                <w:b/>
                <w:bCs/>
                <w:color w:val="000000"/>
                <w:kern w:val="0"/>
                <w:sz w:val="22"/>
                <w:szCs w:val="22"/>
                <w:lang w:eastAsia="en-GB"/>
                <w14:ligatures w14:val="none"/>
              </w:rPr>
              <w:t xml:space="preserve"> 5.6.1</w:t>
            </w:r>
          </w:p>
        </w:tc>
        <w:tc>
          <w:tcPr>
            <w:tcW w:w="1209" w:type="dxa"/>
            <w:tcBorders>
              <w:top w:val="nil"/>
              <w:left w:val="nil"/>
              <w:bottom w:val="nil"/>
              <w:right w:val="nil"/>
            </w:tcBorders>
            <w:vAlign w:val="bottom"/>
            <w:hideMark/>
          </w:tcPr>
          <w:p w14:paraId="15780082" w14:textId="77777777" w:rsidR="00963D30" w:rsidRPr="00963D30" w:rsidRDefault="00963D30" w:rsidP="00963D30">
            <w:pPr>
              <w:spacing w:after="0"/>
              <w:ind w:left="0"/>
              <w:rPr>
                <w:rFonts w:ascii="Aptos Narrow" w:eastAsia="Times New Roman" w:hAnsi="Aptos Narrow" w:cs="Times New Roman"/>
                <w:b/>
                <w:bCs/>
                <w:color w:val="000000"/>
                <w:kern w:val="0"/>
                <w:sz w:val="22"/>
                <w:szCs w:val="22"/>
                <w:lang w:eastAsia="en-GB"/>
                <w14:ligatures w14:val="none"/>
              </w:rPr>
            </w:pPr>
          </w:p>
        </w:tc>
        <w:tc>
          <w:tcPr>
            <w:tcW w:w="1212" w:type="dxa"/>
            <w:tcBorders>
              <w:top w:val="nil"/>
              <w:left w:val="nil"/>
              <w:bottom w:val="nil"/>
              <w:right w:val="nil"/>
            </w:tcBorders>
            <w:vAlign w:val="bottom"/>
            <w:hideMark/>
          </w:tcPr>
          <w:p w14:paraId="37B825B6" w14:textId="77777777" w:rsidR="00963D30" w:rsidRPr="00963D30" w:rsidRDefault="00963D30" w:rsidP="00963D30">
            <w:pPr>
              <w:spacing w:after="0"/>
              <w:ind w:left="0"/>
              <w:rPr>
                <w:rFonts w:ascii="Times New Roman" w:eastAsia="Times New Roman" w:hAnsi="Times New Roman" w:cs="Times New Roman"/>
                <w:kern w:val="0"/>
                <w:sz w:val="20"/>
                <w:szCs w:val="20"/>
                <w:lang w:eastAsia="en-GB"/>
                <w14:ligatures w14:val="none"/>
              </w:rPr>
            </w:pPr>
          </w:p>
        </w:tc>
        <w:tc>
          <w:tcPr>
            <w:tcW w:w="1211" w:type="dxa"/>
            <w:tcBorders>
              <w:top w:val="nil"/>
              <w:left w:val="nil"/>
              <w:bottom w:val="nil"/>
              <w:right w:val="nil"/>
            </w:tcBorders>
            <w:vAlign w:val="bottom"/>
            <w:hideMark/>
          </w:tcPr>
          <w:p w14:paraId="2E8B9095" w14:textId="77777777" w:rsidR="00963D30" w:rsidRPr="00963D30" w:rsidRDefault="00963D30" w:rsidP="00963D30">
            <w:pPr>
              <w:spacing w:after="0"/>
              <w:ind w:left="0"/>
              <w:rPr>
                <w:rFonts w:ascii="Times New Roman" w:eastAsia="Times New Roman" w:hAnsi="Times New Roman" w:cs="Times New Roman"/>
                <w:kern w:val="0"/>
                <w:sz w:val="20"/>
                <w:szCs w:val="20"/>
                <w:lang w:eastAsia="en-GB"/>
                <w14:ligatures w14:val="none"/>
              </w:rPr>
            </w:pPr>
          </w:p>
        </w:tc>
        <w:tc>
          <w:tcPr>
            <w:tcW w:w="1209" w:type="dxa"/>
            <w:tcBorders>
              <w:top w:val="nil"/>
              <w:left w:val="nil"/>
              <w:bottom w:val="nil"/>
              <w:right w:val="nil"/>
            </w:tcBorders>
            <w:vAlign w:val="bottom"/>
            <w:hideMark/>
          </w:tcPr>
          <w:p w14:paraId="3B367953" w14:textId="77777777" w:rsidR="00963D30" w:rsidRPr="00963D30" w:rsidRDefault="00963D30" w:rsidP="00963D30">
            <w:pPr>
              <w:spacing w:after="0"/>
              <w:ind w:left="0"/>
              <w:rPr>
                <w:rFonts w:ascii="Times New Roman" w:eastAsia="Times New Roman" w:hAnsi="Times New Roman" w:cs="Times New Roman"/>
                <w:kern w:val="0"/>
                <w:sz w:val="20"/>
                <w:szCs w:val="20"/>
                <w:lang w:eastAsia="en-GB"/>
                <w14:ligatures w14:val="none"/>
              </w:rPr>
            </w:pPr>
          </w:p>
        </w:tc>
        <w:tc>
          <w:tcPr>
            <w:tcW w:w="1212" w:type="dxa"/>
            <w:tcBorders>
              <w:top w:val="nil"/>
              <w:left w:val="nil"/>
              <w:bottom w:val="nil"/>
              <w:right w:val="nil"/>
            </w:tcBorders>
            <w:vAlign w:val="bottom"/>
            <w:hideMark/>
          </w:tcPr>
          <w:p w14:paraId="33D92CC9" w14:textId="77777777" w:rsidR="00963D30" w:rsidRPr="00963D30" w:rsidRDefault="00963D30" w:rsidP="00963D30">
            <w:pPr>
              <w:spacing w:after="0"/>
              <w:ind w:left="0"/>
              <w:rPr>
                <w:rFonts w:ascii="Times New Roman" w:eastAsia="Times New Roman" w:hAnsi="Times New Roman" w:cs="Times New Roman"/>
                <w:kern w:val="0"/>
                <w:sz w:val="20"/>
                <w:szCs w:val="20"/>
                <w:lang w:eastAsia="en-GB"/>
                <w14:ligatures w14:val="none"/>
              </w:rPr>
            </w:pPr>
          </w:p>
        </w:tc>
      </w:tr>
      <w:tr w:rsidR="00963D30" w:rsidRPr="00963D30" w14:paraId="50ECA2F5" w14:textId="77777777" w:rsidTr="00963D30">
        <w:trPr>
          <w:trHeight w:val="290"/>
        </w:trPr>
        <w:tc>
          <w:tcPr>
            <w:tcW w:w="583" w:type="dxa"/>
            <w:tcBorders>
              <w:top w:val="nil"/>
              <w:left w:val="nil"/>
              <w:bottom w:val="nil"/>
              <w:right w:val="nil"/>
            </w:tcBorders>
            <w:noWrap/>
            <w:vAlign w:val="bottom"/>
            <w:hideMark/>
          </w:tcPr>
          <w:p w14:paraId="379404E0" w14:textId="77777777" w:rsidR="00963D30" w:rsidRPr="00963D30" w:rsidRDefault="00963D30" w:rsidP="00963D30">
            <w:pPr>
              <w:spacing w:after="0"/>
              <w:ind w:left="0"/>
              <w:rPr>
                <w:rFonts w:ascii="Times New Roman" w:eastAsia="Times New Roman" w:hAnsi="Times New Roman" w:cs="Times New Roman"/>
                <w:kern w:val="0"/>
                <w:sz w:val="20"/>
                <w:szCs w:val="20"/>
                <w:lang w:eastAsia="en-GB"/>
                <w14:ligatures w14:val="none"/>
              </w:rPr>
            </w:pPr>
          </w:p>
        </w:tc>
        <w:tc>
          <w:tcPr>
            <w:tcW w:w="1218" w:type="dxa"/>
            <w:tcBorders>
              <w:top w:val="nil"/>
              <w:left w:val="nil"/>
              <w:bottom w:val="nil"/>
              <w:right w:val="nil"/>
            </w:tcBorders>
            <w:vAlign w:val="bottom"/>
            <w:hideMark/>
          </w:tcPr>
          <w:p w14:paraId="448BC54A" w14:textId="77777777" w:rsidR="00963D30" w:rsidRPr="00963D30" w:rsidRDefault="00963D30" w:rsidP="00963D30">
            <w:pPr>
              <w:spacing w:after="0"/>
              <w:ind w:left="0"/>
              <w:rPr>
                <w:rFonts w:ascii="Times New Roman" w:eastAsia="Times New Roman" w:hAnsi="Times New Roman" w:cs="Times New Roman"/>
                <w:kern w:val="0"/>
                <w:sz w:val="20"/>
                <w:szCs w:val="20"/>
                <w:lang w:eastAsia="en-GB"/>
                <w14:ligatures w14:val="none"/>
              </w:rPr>
            </w:pPr>
          </w:p>
        </w:tc>
        <w:tc>
          <w:tcPr>
            <w:tcW w:w="1209" w:type="dxa"/>
            <w:tcBorders>
              <w:top w:val="nil"/>
              <w:left w:val="nil"/>
              <w:bottom w:val="nil"/>
              <w:right w:val="nil"/>
            </w:tcBorders>
            <w:vAlign w:val="bottom"/>
            <w:hideMark/>
          </w:tcPr>
          <w:p w14:paraId="411C7F66" w14:textId="77777777" w:rsidR="00963D30" w:rsidRPr="00963D30" w:rsidRDefault="00963D30" w:rsidP="00963D30">
            <w:pPr>
              <w:spacing w:after="0"/>
              <w:ind w:left="0"/>
              <w:rPr>
                <w:rFonts w:ascii="Times New Roman" w:eastAsia="Times New Roman" w:hAnsi="Times New Roman" w:cs="Times New Roman"/>
                <w:kern w:val="0"/>
                <w:sz w:val="20"/>
                <w:szCs w:val="20"/>
                <w:lang w:eastAsia="en-GB"/>
                <w14:ligatures w14:val="none"/>
              </w:rPr>
            </w:pPr>
          </w:p>
        </w:tc>
        <w:tc>
          <w:tcPr>
            <w:tcW w:w="1212" w:type="dxa"/>
            <w:tcBorders>
              <w:top w:val="nil"/>
              <w:left w:val="nil"/>
              <w:bottom w:val="nil"/>
              <w:right w:val="nil"/>
            </w:tcBorders>
            <w:vAlign w:val="bottom"/>
            <w:hideMark/>
          </w:tcPr>
          <w:p w14:paraId="7D504BE2" w14:textId="77777777" w:rsidR="00963D30" w:rsidRPr="00963D30" w:rsidRDefault="00963D30" w:rsidP="00963D30">
            <w:pPr>
              <w:spacing w:after="0"/>
              <w:ind w:left="0"/>
              <w:rPr>
                <w:rFonts w:ascii="Times New Roman" w:eastAsia="Times New Roman" w:hAnsi="Times New Roman" w:cs="Times New Roman"/>
                <w:kern w:val="0"/>
                <w:sz w:val="20"/>
                <w:szCs w:val="20"/>
                <w:lang w:eastAsia="en-GB"/>
                <w14:ligatures w14:val="none"/>
              </w:rPr>
            </w:pPr>
          </w:p>
        </w:tc>
        <w:tc>
          <w:tcPr>
            <w:tcW w:w="1211" w:type="dxa"/>
            <w:tcBorders>
              <w:top w:val="nil"/>
              <w:left w:val="nil"/>
              <w:bottom w:val="nil"/>
              <w:right w:val="nil"/>
            </w:tcBorders>
            <w:vAlign w:val="bottom"/>
            <w:hideMark/>
          </w:tcPr>
          <w:p w14:paraId="0C7C2985" w14:textId="77777777" w:rsidR="00963D30" w:rsidRPr="00963D30" w:rsidRDefault="00963D30" w:rsidP="00963D30">
            <w:pPr>
              <w:spacing w:after="0"/>
              <w:ind w:left="0"/>
              <w:rPr>
                <w:rFonts w:ascii="Times New Roman" w:eastAsia="Times New Roman" w:hAnsi="Times New Roman" w:cs="Times New Roman"/>
                <w:kern w:val="0"/>
                <w:sz w:val="20"/>
                <w:szCs w:val="20"/>
                <w:lang w:eastAsia="en-GB"/>
                <w14:ligatures w14:val="none"/>
              </w:rPr>
            </w:pPr>
          </w:p>
        </w:tc>
        <w:tc>
          <w:tcPr>
            <w:tcW w:w="1209" w:type="dxa"/>
            <w:tcBorders>
              <w:top w:val="nil"/>
              <w:left w:val="nil"/>
              <w:bottom w:val="nil"/>
              <w:right w:val="nil"/>
            </w:tcBorders>
            <w:vAlign w:val="bottom"/>
            <w:hideMark/>
          </w:tcPr>
          <w:p w14:paraId="12519615" w14:textId="77777777" w:rsidR="00963D30" w:rsidRPr="00963D30" w:rsidRDefault="00963D30" w:rsidP="00963D30">
            <w:pPr>
              <w:spacing w:after="0"/>
              <w:ind w:left="0"/>
              <w:rPr>
                <w:rFonts w:ascii="Times New Roman" w:eastAsia="Times New Roman" w:hAnsi="Times New Roman" w:cs="Times New Roman"/>
                <w:kern w:val="0"/>
                <w:sz w:val="20"/>
                <w:szCs w:val="20"/>
                <w:lang w:eastAsia="en-GB"/>
                <w14:ligatures w14:val="none"/>
              </w:rPr>
            </w:pPr>
          </w:p>
        </w:tc>
        <w:tc>
          <w:tcPr>
            <w:tcW w:w="1212" w:type="dxa"/>
            <w:tcBorders>
              <w:top w:val="nil"/>
              <w:left w:val="nil"/>
              <w:bottom w:val="nil"/>
              <w:right w:val="nil"/>
            </w:tcBorders>
            <w:vAlign w:val="bottom"/>
            <w:hideMark/>
          </w:tcPr>
          <w:p w14:paraId="5EF75109" w14:textId="77777777" w:rsidR="00963D30" w:rsidRPr="00963D30" w:rsidRDefault="00963D30" w:rsidP="00963D30">
            <w:pPr>
              <w:spacing w:after="0"/>
              <w:ind w:left="0"/>
              <w:rPr>
                <w:rFonts w:ascii="Times New Roman" w:eastAsia="Times New Roman" w:hAnsi="Times New Roman" w:cs="Times New Roman"/>
                <w:kern w:val="0"/>
                <w:sz w:val="20"/>
                <w:szCs w:val="20"/>
                <w:lang w:eastAsia="en-GB"/>
                <w14:ligatures w14:val="none"/>
              </w:rPr>
            </w:pPr>
          </w:p>
        </w:tc>
      </w:tr>
      <w:tr w:rsidR="00963D30" w:rsidRPr="00963D30" w14:paraId="32BAE117" w14:textId="77777777" w:rsidTr="00963D30">
        <w:trPr>
          <w:trHeight w:val="290"/>
        </w:trPr>
        <w:tc>
          <w:tcPr>
            <w:tcW w:w="583"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21345EEE" w14:textId="77777777" w:rsidR="00963D30" w:rsidRPr="00963D30" w:rsidRDefault="00963D30" w:rsidP="00963D30">
            <w:pPr>
              <w:spacing w:after="0"/>
              <w:ind w:left="0"/>
              <w:rPr>
                <w:rFonts w:ascii="Aptos Narrow" w:eastAsia="Times New Roman" w:hAnsi="Aptos Narrow" w:cs="Times New Roman"/>
                <w:b/>
                <w:bCs/>
                <w:color w:val="FFFFFF"/>
                <w:kern w:val="0"/>
                <w:sz w:val="22"/>
                <w:szCs w:val="22"/>
                <w:lang w:eastAsia="en-GB"/>
                <w14:ligatures w14:val="none"/>
              </w:rPr>
            </w:pPr>
            <w:r w:rsidRPr="00963D30">
              <w:rPr>
                <w:rFonts w:ascii="Aptos Narrow" w:eastAsia="Times New Roman" w:hAnsi="Aptos Narrow" w:cs="Times New Roman"/>
                <w:b/>
                <w:bCs/>
                <w:color w:val="FFFFFF"/>
                <w:kern w:val="0"/>
                <w:sz w:val="22"/>
                <w:szCs w:val="22"/>
                <w:lang w:eastAsia="en-GB"/>
                <w14:ligatures w14:val="none"/>
              </w:rPr>
              <w:t> </w:t>
            </w:r>
          </w:p>
        </w:tc>
        <w:tc>
          <w:tcPr>
            <w:tcW w:w="1218" w:type="dxa"/>
            <w:tcBorders>
              <w:top w:val="single" w:sz="4" w:space="0" w:color="auto"/>
              <w:left w:val="nil"/>
              <w:bottom w:val="single" w:sz="4" w:space="0" w:color="auto"/>
              <w:right w:val="single" w:sz="4" w:space="0" w:color="auto"/>
            </w:tcBorders>
            <w:shd w:val="clear" w:color="000000" w:fill="156082"/>
            <w:vAlign w:val="bottom"/>
            <w:hideMark/>
          </w:tcPr>
          <w:p w14:paraId="712AA6B3" w14:textId="77777777" w:rsidR="00963D30" w:rsidRPr="00963D30" w:rsidRDefault="00963D30" w:rsidP="00963D30">
            <w:pPr>
              <w:spacing w:after="0"/>
              <w:ind w:left="0"/>
              <w:jc w:val="center"/>
              <w:rPr>
                <w:rFonts w:ascii="Aptos Narrow" w:eastAsia="Times New Roman" w:hAnsi="Aptos Narrow" w:cs="Times New Roman"/>
                <w:b/>
                <w:bCs/>
                <w:color w:val="FFFFFF"/>
                <w:kern w:val="0"/>
                <w:sz w:val="22"/>
                <w:szCs w:val="22"/>
                <w:lang w:eastAsia="en-GB"/>
                <w14:ligatures w14:val="none"/>
              </w:rPr>
            </w:pPr>
            <w:r w:rsidRPr="00963D30">
              <w:rPr>
                <w:rFonts w:ascii="Aptos Narrow" w:eastAsia="Times New Roman" w:hAnsi="Aptos Narrow" w:cs="Times New Roman"/>
                <w:b/>
                <w:bCs/>
                <w:color w:val="FFFFFF"/>
                <w:kern w:val="0"/>
                <w:sz w:val="22"/>
                <w:szCs w:val="22"/>
                <w:lang w:eastAsia="en-GB"/>
                <w14:ligatures w14:val="none"/>
              </w:rPr>
              <w:t>2025</w:t>
            </w:r>
          </w:p>
        </w:tc>
        <w:tc>
          <w:tcPr>
            <w:tcW w:w="1209" w:type="dxa"/>
            <w:tcBorders>
              <w:top w:val="single" w:sz="4" w:space="0" w:color="auto"/>
              <w:left w:val="nil"/>
              <w:bottom w:val="single" w:sz="4" w:space="0" w:color="auto"/>
              <w:right w:val="single" w:sz="4" w:space="0" w:color="auto"/>
            </w:tcBorders>
            <w:shd w:val="clear" w:color="000000" w:fill="156082"/>
            <w:vAlign w:val="bottom"/>
            <w:hideMark/>
          </w:tcPr>
          <w:p w14:paraId="0C4A23DB" w14:textId="77777777" w:rsidR="00963D30" w:rsidRPr="00963D30" w:rsidRDefault="00963D30" w:rsidP="00963D30">
            <w:pPr>
              <w:spacing w:after="0"/>
              <w:ind w:left="0"/>
              <w:rPr>
                <w:rFonts w:ascii="Aptos Narrow" w:eastAsia="Times New Roman" w:hAnsi="Aptos Narrow" w:cs="Times New Roman"/>
                <w:b/>
                <w:bCs/>
                <w:color w:val="FFFFFF"/>
                <w:kern w:val="0"/>
                <w:sz w:val="22"/>
                <w:szCs w:val="22"/>
                <w:lang w:eastAsia="en-GB"/>
                <w14:ligatures w14:val="none"/>
              </w:rPr>
            </w:pPr>
            <w:r w:rsidRPr="00963D30">
              <w:rPr>
                <w:rFonts w:ascii="Aptos Narrow" w:eastAsia="Times New Roman" w:hAnsi="Aptos Narrow" w:cs="Times New Roman"/>
                <w:b/>
                <w:bCs/>
                <w:color w:val="FFFFFF"/>
                <w:kern w:val="0"/>
                <w:sz w:val="22"/>
                <w:szCs w:val="22"/>
                <w:lang w:eastAsia="en-GB"/>
                <w14:ligatures w14:val="none"/>
              </w:rPr>
              <w:t> </w:t>
            </w:r>
          </w:p>
        </w:tc>
        <w:tc>
          <w:tcPr>
            <w:tcW w:w="1212" w:type="dxa"/>
            <w:tcBorders>
              <w:top w:val="single" w:sz="4" w:space="0" w:color="auto"/>
              <w:left w:val="nil"/>
              <w:bottom w:val="single" w:sz="4" w:space="0" w:color="auto"/>
              <w:right w:val="single" w:sz="4" w:space="0" w:color="auto"/>
            </w:tcBorders>
            <w:shd w:val="clear" w:color="000000" w:fill="156082"/>
            <w:vAlign w:val="bottom"/>
            <w:hideMark/>
          </w:tcPr>
          <w:p w14:paraId="134E41BB" w14:textId="77777777" w:rsidR="00963D30" w:rsidRPr="00963D30" w:rsidRDefault="00963D30" w:rsidP="00963D30">
            <w:pPr>
              <w:spacing w:after="0"/>
              <w:ind w:left="0"/>
              <w:rPr>
                <w:rFonts w:ascii="Aptos Narrow" w:eastAsia="Times New Roman" w:hAnsi="Aptos Narrow" w:cs="Times New Roman"/>
                <w:b/>
                <w:bCs/>
                <w:color w:val="FFFFFF"/>
                <w:kern w:val="0"/>
                <w:sz w:val="22"/>
                <w:szCs w:val="22"/>
                <w:lang w:eastAsia="en-GB"/>
                <w14:ligatures w14:val="none"/>
              </w:rPr>
            </w:pPr>
            <w:r w:rsidRPr="00963D30">
              <w:rPr>
                <w:rFonts w:ascii="Aptos Narrow" w:eastAsia="Times New Roman" w:hAnsi="Aptos Narrow" w:cs="Times New Roman"/>
                <w:b/>
                <w:bCs/>
                <w:color w:val="FFFFFF"/>
                <w:kern w:val="0"/>
                <w:sz w:val="22"/>
                <w:szCs w:val="22"/>
                <w:lang w:eastAsia="en-GB"/>
                <w14:ligatures w14:val="none"/>
              </w:rPr>
              <w:t> </w:t>
            </w:r>
          </w:p>
        </w:tc>
        <w:tc>
          <w:tcPr>
            <w:tcW w:w="1211" w:type="dxa"/>
            <w:tcBorders>
              <w:top w:val="single" w:sz="4" w:space="0" w:color="auto"/>
              <w:left w:val="nil"/>
              <w:bottom w:val="single" w:sz="4" w:space="0" w:color="auto"/>
              <w:right w:val="single" w:sz="4" w:space="0" w:color="auto"/>
            </w:tcBorders>
            <w:shd w:val="clear" w:color="000000" w:fill="156082"/>
            <w:vAlign w:val="bottom"/>
            <w:hideMark/>
          </w:tcPr>
          <w:p w14:paraId="3C3C6D1D" w14:textId="77777777" w:rsidR="00963D30" w:rsidRPr="00963D30" w:rsidRDefault="00963D30" w:rsidP="00963D30">
            <w:pPr>
              <w:spacing w:after="0"/>
              <w:ind w:left="0"/>
              <w:rPr>
                <w:rFonts w:ascii="Aptos Narrow" w:eastAsia="Times New Roman" w:hAnsi="Aptos Narrow" w:cs="Times New Roman"/>
                <w:b/>
                <w:bCs/>
                <w:color w:val="FFFFFF"/>
                <w:kern w:val="0"/>
                <w:sz w:val="22"/>
                <w:szCs w:val="22"/>
                <w:lang w:eastAsia="en-GB"/>
                <w14:ligatures w14:val="none"/>
              </w:rPr>
            </w:pPr>
            <w:r w:rsidRPr="00963D30">
              <w:rPr>
                <w:rFonts w:ascii="Aptos Narrow" w:eastAsia="Times New Roman" w:hAnsi="Aptos Narrow" w:cs="Times New Roman"/>
                <w:b/>
                <w:bCs/>
                <w:color w:val="FFFFFF"/>
                <w:kern w:val="0"/>
                <w:sz w:val="22"/>
                <w:szCs w:val="22"/>
                <w:lang w:eastAsia="en-GB"/>
                <w14:ligatures w14:val="none"/>
              </w:rPr>
              <w:t> </w:t>
            </w:r>
          </w:p>
        </w:tc>
        <w:tc>
          <w:tcPr>
            <w:tcW w:w="1209" w:type="dxa"/>
            <w:tcBorders>
              <w:top w:val="single" w:sz="4" w:space="0" w:color="auto"/>
              <w:left w:val="nil"/>
              <w:bottom w:val="single" w:sz="4" w:space="0" w:color="auto"/>
              <w:right w:val="single" w:sz="4" w:space="0" w:color="auto"/>
            </w:tcBorders>
            <w:shd w:val="clear" w:color="000000" w:fill="156082"/>
            <w:vAlign w:val="bottom"/>
            <w:hideMark/>
          </w:tcPr>
          <w:p w14:paraId="7532C4A1" w14:textId="77777777" w:rsidR="00963D30" w:rsidRPr="00963D30" w:rsidRDefault="00963D30" w:rsidP="00963D30">
            <w:pPr>
              <w:spacing w:after="0"/>
              <w:ind w:left="0"/>
              <w:rPr>
                <w:rFonts w:ascii="Aptos Narrow" w:eastAsia="Times New Roman" w:hAnsi="Aptos Narrow" w:cs="Times New Roman"/>
                <w:b/>
                <w:bCs/>
                <w:color w:val="FFFFFF"/>
                <w:kern w:val="0"/>
                <w:sz w:val="22"/>
                <w:szCs w:val="22"/>
                <w:lang w:eastAsia="en-GB"/>
                <w14:ligatures w14:val="none"/>
              </w:rPr>
            </w:pPr>
            <w:r w:rsidRPr="00963D30">
              <w:rPr>
                <w:rFonts w:ascii="Aptos Narrow" w:eastAsia="Times New Roman" w:hAnsi="Aptos Narrow" w:cs="Times New Roman"/>
                <w:b/>
                <w:bCs/>
                <w:color w:val="FFFFFF"/>
                <w:kern w:val="0"/>
                <w:sz w:val="22"/>
                <w:szCs w:val="22"/>
                <w:lang w:eastAsia="en-GB"/>
                <w14:ligatures w14:val="none"/>
              </w:rPr>
              <w:t> </w:t>
            </w:r>
          </w:p>
        </w:tc>
        <w:tc>
          <w:tcPr>
            <w:tcW w:w="1212" w:type="dxa"/>
            <w:tcBorders>
              <w:top w:val="single" w:sz="4" w:space="0" w:color="auto"/>
              <w:left w:val="nil"/>
              <w:bottom w:val="single" w:sz="4" w:space="0" w:color="auto"/>
              <w:right w:val="single" w:sz="4" w:space="0" w:color="auto"/>
            </w:tcBorders>
            <w:shd w:val="clear" w:color="000000" w:fill="156082"/>
            <w:vAlign w:val="bottom"/>
            <w:hideMark/>
          </w:tcPr>
          <w:p w14:paraId="37AE3F30" w14:textId="77777777" w:rsidR="00963D30" w:rsidRPr="00963D30" w:rsidRDefault="00963D30" w:rsidP="00963D30">
            <w:pPr>
              <w:spacing w:after="0"/>
              <w:ind w:left="0"/>
              <w:rPr>
                <w:rFonts w:ascii="Aptos Narrow" w:eastAsia="Times New Roman" w:hAnsi="Aptos Narrow" w:cs="Times New Roman"/>
                <w:b/>
                <w:bCs/>
                <w:color w:val="FFFFFF"/>
                <w:kern w:val="0"/>
                <w:sz w:val="22"/>
                <w:szCs w:val="22"/>
                <w:lang w:eastAsia="en-GB"/>
                <w14:ligatures w14:val="none"/>
              </w:rPr>
            </w:pPr>
            <w:r w:rsidRPr="00963D30">
              <w:rPr>
                <w:rFonts w:ascii="Aptos Narrow" w:eastAsia="Times New Roman" w:hAnsi="Aptos Narrow" w:cs="Times New Roman"/>
                <w:b/>
                <w:bCs/>
                <w:color w:val="FFFFFF"/>
                <w:kern w:val="0"/>
                <w:sz w:val="22"/>
                <w:szCs w:val="22"/>
                <w:lang w:eastAsia="en-GB"/>
                <w14:ligatures w14:val="none"/>
              </w:rPr>
              <w:t> </w:t>
            </w:r>
          </w:p>
        </w:tc>
      </w:tr>
      <w:tr w:rsidR="00963D30" w:rsidRPr="00963D30" w14:paraId="3E778AA9" w14:textId="77777777" w:rsidTr="00963D30">
        <w:trPr>
          <w:trHeight w:val="580"/>
        </w:trPr>
        <w:tc>
          <w:tcPr>
            <w:tcW w:w="583" w:type="dxa"/>
            <w:tcBorders>
              <w:top w:val="nil"/>
              <w:left w:val="single" w:sz="4" w:space="0" w:color="auto"/>
              <w:bottom w:val="single" w:sz="4" w:space="0" w:color="auto"/>
              <w:right w:val="single" w:sz="4" w:space="0" w:color="auto"/>
            </w:tcBorders>
            <w:shd w:val="clear" w:color="000000" w:fill="156082"/>
            <w:noWrap/>
            <w:hideMark/>
          </w:tcPr>
          <w:p w14:paraId="465A023A" w14:textId="77777777" w:rsidR="00963D30" w:rsidRPr="00963D30" w:rsidRDefault="00963D30" w:rsidP="00963D30">
            <w:pPr>
              <w:spacing w:after="0"/>
              <w:ind w:left="0"/>
              <w:rPr>
                <w:rFonts w:ascii="Aptos Narrow" w:eastAsia="Times New Roman" w:hAnsi="Aptos Narrow" w:cs="Times New Roman"/>
                <w:b/>
                <w:bCs/>
                <w:color w:val="FFFFFF"/>
                <w:kern w:val="0"/>
                <w:sz w:val="22"/>
                <w:szCs w:val="22"/>
                <w:lang w:eastAsia="en-GB"/>
                <w14:ligatures w14:val="none"/>
              </w:rPr>
            </w:pPr>
            <w:r w:rsidRPr="00963D30">
              <w:rPr>
                <w:rFonts w:ascii="Aptos Narrow" w:eastAsia="Times New Roman" w:hAnsi="Aptos Narrow" w:cs="Times New Roman"/>
                <w:b/>
                <w:bCs/>
                <w:color w:val="FFFFFF"/>
                <w:kern w:val="0"/>
                <w:sz w:val="22"/>
                <w:szCs w:val="22"/>
                <w:lang w:eastAsia="en-GB"/>
                <w14:ligatures w14:val="none"/>
              </w:rPr>
              <w:t>Quartile</w:t>
            </w:r>
          </w:p>
        </w:tc>
        <w:tc>
          <w:tcPr>
            <w:tcW w:w="1218" w:type="dxa"/>
            <w:tcBorders>
              <w:top w:val="nil"/>
              <w:left w:val="nil"/>
              <w:bottom w:val="single" w:sz="4" w:space="0" w:color="auto"/>
              <w:right w:val="single" w:sz="4" w:space="0" w:color="auto"/>
            </w:tcBorders>
            <w:shd w:val="clear" w:color="000000" w:fill="156082"/>
            <w:hideMark/>
          </w:tcPr>
          <w:p w14:paraId="061440DE" w14:textId="77777777" w:rsidR="00963D30" w:rsidRPr="00963D30" w:rsidRDefault="00963D30" w:rsidP="00963D30">
            <w:pPr>
              <w:spacing w:after="0"/>
              <w:ind w:left="0"/>
              <w:rPr>
                <w:rFonts w:ascii="Aptos Narrow" w:eastAsia="Times New Roman" w:hAnsi="Aptos Narrow" w:cs="Times New Roman"/>
                <w:b/>
                <w:bCs/>
                <w:color w:val="FFFFFF"/>
                <w:kern w:val="0"/>
                <w:sz w:val="22"/>
                <w:szCs w:val="22"/>
                <w:lang w:eastAsia="en-GB"/>
                <w14:ligatures w14:val="none"/>
              </w:rPr>
            </w:pPr>
            <w:r w:rsidRPr="00963D30">
              <w:rPr>
                <w:rFonts w:ascii="Aptos Narrow" w:eastAsia="Times New Roman" w:hAnsi="Aptos Narrow" w:cs="Times New Roman"/>
                <w:b/>
                <w:bCs/>
                <w:color w:val="FFFFFF"/>
                <w:kern w:val="0"/>
                <w:sz w:val="22"/>
                <w:szCs w:val="22"/>
                <w:lang w:eastAsia="en-GB"/>
                <w14:ligatures w14:val="none"/>
              </w:rPr>
              <w:t>White</w:t>
            </w:r>
          </w:p>
        </w:tc>
        <w:tc>
          <w:tcPr>
            <w:tcW w:w="1209" w:type="dxa"/>
            <w:tcBorders>
              <w:top w:val="nil"/>
              <w:left w:val="nil"/>
              <w:bottom w:val="single" w:sz="4" w:space="0" w:color="auto"/>
              <w:right w:val="single" w:sz="4" w:space="0" w:color="auto"/>
            </w:tcBorders>
            <w:shd w:val="clear" w:color="000000" w:fill="156082"/>
            <w:hideMark/>
          </w:tcPr>
          <w:p w14:paraId="5209374D" w14:textId="77777777" w:rsidR="00963D30" w:rsidRPr="00963D30" w:rsidRDefault="00963D30" w:rsidP="00963D30">
            <w:pPr>
              <w:spacing w:after="0"/>
              <w:ind w:left="0"/>
              <w:rPr>
                <w:rFonts w:ascii="Aptos Narrow" w:eastAsia="Times New Roman" w:hAnsi="Aptos Narrow" w:cs="Times New Roman"/>
                <w:b/>
                <w:bCs/>
                <w:color w:val="FFFFFF"/>
                <w:kern w:val="0"/>
                <w:sz w:val="22"/>
                <w:szCs w:val="22"/>
                <w:lang w:eastAsia="en-GB"/>
                <w14:ligatures w14:val="none"/>
              </w:rPr>
            </w:pPr>
            <w:r w:rsidRPr="00963D30">
              <w:rPr>
                <w:rFonts w:ascii="Aptos Narrow" w:eastAsia="Times New Roman" w:hAnsi="Aptos Narrow" w:cs="Times New Roman"/>
                <w:b/>
                <w:bCs/>
                <w:color w:val="FFFFFF"/>
                <w:kern w:val="0"/>
                <w:sz w:val="22"/>
                <w:szCs w:val="22"/>
                <w:lang w:eastAsia="en-GB"/>
                <w14:ligatures w14:val="none"/>
              </w:rPr>
              <w:t>BME</w:t>
            </w:r>
          </w:p>
        </w:tc>
        <w:tc>
          <w:tcPr>
            <w:tcW w:w="1212" w:type="dxa"/>
            <w:tcBorders>
              <w:top w:val="nil"/>
              <w:left w:val="nil"/>
              <w:bottom w:val="single" w:sz="4" w:space="0" w:color="auto"/>
              <w:right w:val="single" w:sz="4" w:space="0" w:color="auto"/>
            </w:tcBorders>
            <w:shd w:val="clear" w:color="000000" w:fill="156082"/>
            <w:hideMark/>
          </w:tcPr>
          <w:p w14:paraId="469B56B8" w14:textId="77777777" w:rsidR="00963D30" w:rsidRPr="00963D30" w:rsidRDefault="00963D30" w:rsidP="00963D30">
            <w:pPr>
              <w:spacing w:after="0"/>
              <w:ind w:left="0"/>
              <w:rPr>
                <w:rFonts w:ascii="Aptos Narrow" w:eastAsia="Times New Roman" w:hAnsi="Aptos Narrow" w:cs="Times New Roman"/>
                <w:b/>
                <w:bCs/>
                <w:color w:val="FFFFFF"/>
                <w:kern w:val="0"/>
                <w:sz w:val="22"/>
                <w:szCs w:val="22"/>
                <w:lang w:eastAsia="en-GB"/>
                <w14:ligatures w14:val="none"/>
              </w:rPr>
            </w:pPr>
            <w:r w:rsidRPr="00963D30">
              <w:rPr>
                <w:rFonts w:ascii="Aptos Narrow" w:eastAsia="Times New Roman" w:hAnsi="Aptos Narrow" w:cs="Times New Roman"/>
                <w:b/>
                <w:bCs/>
                <w:color w:val="FFFFFF"/>
                <w:kern w:val="0"/>
                <w:sz w:val="22"/>
                <w:szCs w:val="22"/>
                <w:lang w:eastAsia="en-GB"/>
                <w14:ligatures w14:val="none"/>
              </w:rPr>
              <w:t>Not Stated</w:t>
            </w:r>
          </w:p>
        </w:tc>
        <w:tc>
          <w:tcPr>
            <w:tcW w:w="1211" w:type="dxa"/>
            <w:tcBorders>
              <w:top w:val="nil"/>
              <w:left w:val="nil"/>
              <w:bottom w:val="single" w:sz="4" w:space="0" w:color="auto"/>
              <w:right w:val="single" w:sz="4" w:space="0" w:color="auto"/>
            </w:tcBorders>
            <w:shd w:val="clear" w:color="000000" w:fill="156082"/>
            <w:hideMark/>
          </w:tcPr>
          <w:p w14:paraId="505AB133" w14:textId="77777777" w:rsidR="00963D30" w:rsidRPr="00963D30" w:rsidRDefault="00963D30" w:rsidP="00963D30">
            <w:pPr>
              <w:spacing w:after="0"/>
              <w:ind w:left="0"/>
              <w:rPr>
                <w:rFonts w:ascii="Aptos Narrow" w:eastAsia="Times New Roman" w:hAnsi="Aptos Narrow" w:cs="Times New Roman"/>
                <w:b/>
                <w:bCs/>
                <w:color w:val="FFFFFF"/>
                <w:kern w:val="0"/>
                <w:sz w:val="22"/>
                <w:szCs w:val="22"/>
                <w:lang w:eastAsia="en-GB"/>
                <w14:ligatures w14:val="none"/>
              </w:rPr>
            </w:pPr>
            <w:r w:rsidRPr="00963D30">
              <w:rPr>
                <w:rFonts w:ascii="Aptos Narrow" w:eastAsia="Times New Roman" w:hAnsi="Aptos Narrow" w:cs="Times New Roman"/>
                <w:b/>
                <w:bCs/>
                <w:color w:val="FFFFFF"/>
                <w:kern w:val="0"/>
                <w:sz w:val="22"/>
                <w:szCs w:val="22"/>
                <w:lang w:eastAsia="en-GB"/>
                <w14:ligatures w14:val="none"/>
              </w:rPr>
              <w:t>White %</w:t>
            </w:r>
          </w:p>
        </w:tc>
        <w:tc>
          <w:tcPr>
            <w:tcW w:w="1209" w:type="dxa"/>
            <w:tcBorders>
              <w:top w:val="nil"/>
              <w:left w:val="nil"/>
              <w:bottom w:val="single" w:sz="4" w:space="0" w:color="auto"/>
              <w:right w:val="single" w:sz="4" w:space="0" w:color="auto"/>
            </w:tcBorders>
            <w:shd w:val="clear" w:color="000000" w:fill="156082"/>
            <w:hideMark/>
          </w:tcPr>
          <w:p w14:paraId="424CE1FF" w14:textId="77777777" w:rsidR="00963D30" w:rsidRPr="00963D30" w:rsidRDefault="00963D30" w:rsidP="00963D30">
            <w:pPr>
              <w:spacing w:after="0"/>
              <w:ind w:left="0"/>
              <w:rPr>
                <w:rFonts w:ascii="Aptos Narrow" w:eastAsia="Times New Roman" w:hAnsi="Aptos Narrow" w:cs="Times New Roman"/>
                <w:b/>
                <w:bCs/>
                <w:color w:val="FFFFFF"/>
                <w:kern w:val="0"/>
                <w:sz w:val="22"/>
                <w:szCs w:val="22"/>
                <w:lang w:eastAsia="en-GB"/>
                <w14:ligatures w14:val="none"/>
              </w:rPr>
            </w:pPr>
            <w:r w:rsidRPr="00963D30">
              <w:rPr>
                <w:rFonts w:ascii="Aptos Narrow" w:eastAsia="Times New Roman" w:hAnsi="Aptos Narrow" w:cs="Times New Roman"/>
                <w:b/>
                <w:bCs/>
                <w:color w:val="FFFFFF"/>
                <w:kern w:val="0"/>
                <w:sz w:val="22"/>
                <w:szCs w:val="22"/>
                <w:lang w:eastAsia="en-GB"/>
                <w14:ligatures w14:val="none"/>
              </w:rPr>
              <w:t>BME %</w:t>
            </w:r>
          </w:p>
        </w:tc>
        <w:tc>
          <w:tcPr>
            <w:tcW w:w="1212" w:type="dxa"/>
            <w:tcBorders>
              <w:top w:val="nil"/>
              <w:left w:val="nil"/>
              <w:bottom w:val="single" w:sz="4" w:space="0" w:color="auto"/>
              <w:right w:val="single" w:sz="4" w:space="0" w:color="auto"/>
            </w:tcBorders>
            <w:shd w:val="clear" w:color="000000" w:fill="156082"/>
            <w:hideMark/>
          </w:tcPr>
          <w:p w14:paraId="1A86BFC4" w14:textId="77777777" w:rsidR="00963D30" w:rsidRPr="00963D30" w:rsidRDefault="00963D30" w:rsidP="00963D30">
            <w:pPr>
              <w:spacing w:after="0"/>
              <w:ind w:left="0"/>
              <w:rPr>
                <w:rFonts w:ascii="Aptos Narrow" w:eastAsia="Times New Roman" w:hAnsi="Aptos Narrow" w:cs="Times New Roman"/>
                <w:b/>
                <w:bCs/>
                <w:color w:val="FFFFFF"/>
                <w:kern w:val="0"/>
                <w:sz w:val="22"/>
                <w:szCs w:val="22"/>
                <w:lang w:eastAsia="en-GB"/>
                <w14:ligatures w14:val="none"/>
              </w:rPr>
            </w:pPr>
            <w:r w:rsidRPr="00963D30">
              <w:rPr>
                <w:rFonts w:ascii="Aptos Narrow" w:eastAsia="Times New Roman" w:hAnsi="Aptos Narrow" w:cs="Times New Roman"/>
                <w:b/>
                <w:bCs/>
                <w:color w:val="FFFFFF"/>
                <w:kern w:val="0"/>
                <w:sz w:val="22"/>
                <w:szCs w:val="22"/>
                <w:lang w:eastAsia="en-GB"/>
                <w14:ligatures w14:val="none"/>
              </w:rPr>
              <w:t>Not Stated %</w:t>
            </w:r>
          </w:p>
        </w:tc>
      </w:tr>
      <w:tr w:rsidR="00963D30" w:rsidRPr="00963D30" w14:paraId="238FEE40" w14:textId="77777777" w:rsidTr="00963D30">
        <w:trPr>
          <w:trHeight w:val="290"/>
        </w:trPr>
        <w:tc>
          <w:tcPr>
            <w:tcW w:w="583" w:type="dxa"/>
            <w:tcBorders>
              <w:top w:val="nil"/>
              <w:left w:val="single" w:sz="4" w:space="0" w:color="auto"/>
              <w:bottom w:val="single" w:sz="4" w:space="0" w:color="auto"/>
              <w:right w:val="single" w:sz="4" w:space="0" w:color="auto"/>
            </w:tcBorders>
            <w:noWrap/>
            <w:vAlign w:val="bottom"/>
            <w:hideMark/>
          </w:tcPr>
          <w:p w14:paraId="0B0F41AD" w14:textId="77777777" w:rsidR="00963D30" w:rsidRPr="00963D30" w:rsidRDefault="00963D30" w:rsidP="00963D30">
            <w:pPr>
              <w:spacing w:after="0"/>
              <w:ind w:left="0"/>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Q1</w:t>
            </w:r>
          </w:p>
        </w:tc>
        <w:tc>
          <w:tcPr>
            <w:tcW w:w="1218" w:type="dxa"/>
            <w:tcBorders>
              <w:top w:val="nil"/>
              <w:left w:val="nil"/>
              <w:bottom w:val="single" w:sz="4" w:space="0" w:color="auto"/>
              <w:right w:val="single" w:sz="4" w:space="0" w:color="auto"/>
            </w:tcBorders>
            <w:vAlign w:val="bottom"/>
            <w:hideMark/>
          </w:tcPr>
          <w:p w14:paraId="635739E0"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879</w:t>
            </w:r>
          </w:p>
        </w:tc>
        <w:tc>
          <w:tcPr>
            <w:tcW w:w="1209" w:type="dxa"/>
            <w:tcBorders>
              <w:top w:val="nil"/>
              <w:left w:val="nil"/>
              <w:bottom w:val="single" w:sz="4" w:space="0" w:color="auto"/>
              <w:right w:val="single" w:sz="4" w:space="0" w:color="auto"/>
            </w:tcBorders>
            <w:vAlign w:val="bottom"/>
            <w:hideMark/>
          </w:tcPr>
          <w:p w14:paraId="245430C6"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975</w:t>
            </w:r>
          </w:p>
        </w:tc>
        <w:tc>
          <w:tcPr>
            <w:tcW w:w="1212" w:type="dxa"/>
            <w:tcBorders>
              <w:top w:val="nil"/>
              <w:left w:val="nil"/>
              <w:bottom w:val="single" w:sz="4" w:space="0" w:color="auto"/>
              <w:right w:val="single" w:sz="4" w:space="0" w:color="auto"/>
            </w:tcBorders>
            <w:vAlign w:val="bottom"/>
            <w:hideMark/>
          </w:tcPr>
          <w:p w14:paraId="4CDFF312"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267</w:t>
            </w:r>
          </w:p>
        </w:tc>
        <w:tc>
          <w:tcPr>
            <w:tcW w:w="1211" w:type="dxa"/>
            <w:tcBorders>
              <w:top w:val="nil"/>
              <w:left w:val="nil"/>
              <w:bottom w:val="single" w:sz="4" w:space="0" w:color="auto"/>
              <w:right w:val="single" w:sz="4" w:space="0" w:color="auto"/>
            </w:tcBorders>
            <w:vAlign w:val="bottom"/>
            <w:hideMark/>
          </w:tcPr>
          <w:p w14:paraId="467CDCE5"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41.4</w:t>
            </w:r>
          </w:p>
        </w:tc>
        <w:tc>
          <w:tcPr>
            <w:tcW w:w="1209" w:type="dxa"/>
            <w:tcBorders>
              <w:top w:val="nil"/>
              <w:left w:val="nil"/>
              <w:bottom w:val="single" w:sz="4" w:space="0" w:color="auto"/>
              <w:right w:val="single" w:sz="4" w:space="0" w:color="auto"/>
            </w:tcBorders>
            <w:vAlign w:val="bottom"/>
            <w:hideMark/>
          </w:tcPr>
          <w:p w14:paraId="3F33117C"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46.0</w:t>
            </w:r>
          </w:p>
        </w:tc>
        <w:tc>
          <w:tcPr>
            <w:tcW w:w="1212" w:type="dxa"/>
            <w:tcBorders>
              <w:top w:val="nil"/>
              <w:left w:val="nil"/>
              <w:bottom w:val="single" w:sz="4" w:space="0" w:color="auto"/>
              <w:right w:val="single" w:sz="4" w:space="0" w:color="auto"/>
            </w:tcBorders>
            <w:vAlign w:val="bottom"/>
            <w:hideMark/>
          </w:tcPr>
          <w:p w14:paraId="2532A926"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12.6</w:t>
            </w:r>
          </w:p>
        </w:tc>
      </w:tr>
      <w:tr w:rsidR="00963D30" w:rsidRPr="00963D30" w14:paraId="4BE0C8EA" w14:textId="77777777" w:rsidTr="00963D30">
        <w:trPr>
          <w:trHeight w:val="290"/>
        </w:trPr>
        <w:tc>
          <w:tcPr>
            <w:tcW w:w="583" w:type="dxa"/>
            <w:tcBorders>
              <w:top w:val="nil"/>
              <w:left w:val="single" w:sz="4" w:space="0" w:color="auto"/>
              <w:bottom w:val="single" w:sz="4" w:space="0" w:color="auto"/>
              <w:right w:val="single" w:sz="4" w:space="0" w:color="auto"/>
            </w:tcBorders>
            <w:noWrap/>
            <w:vAlign w:val="bottom"/>
            <w:hideMark/>
          </w:tcPr>
          <w:p w14:paraId="63B3BFC0" w14:textId="77777777" w:rsidR="00963D30" w:rsidRPr="00963D30" w:rsidRDefault="00963D30" w:rsidP="00963D30">
            <w:pPr>
              <w:spacing w:after="0"/>
              <w:ind w:left="0"/>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Q2</w:t>
            </w:r>
          </w:p>
        </w:tc>
        <w:tc>
          <w:tcPr>
            <w:tcW w:w="1218" w:type="dxa"/>
            <w:tcBorders>
              <w:top w:val="nil"/>
              <w:left w:val="nil"/>
              <w:bottom w:val="single" w:sz="4" w:space="0" w:color="auto"/>
              <w:right w:val="single" w:sz="4" w:space="0" w:color="auto"/>
            </w:tcBorders>
            <w:vAlign w:val="bottom"/>
            <w:hideMark/>
          </w:tcPr>
          <w:p w14:paraId="01D012ED"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789</w:t>
            </w:r>
          </w:p>
        </w:tc>
        <w:tc>
          <w:tcPr>
            <w:tcW w:w="1209" w:type="dxa"/>
            <w:tcBorders>
              <w:top w:val="nil"/>
              <w:left w:val="nil"/>
              <w:bottom w:val="single" w:sz="4" w:space="0" w:color="auto"/>
              <w:right w:val="single" w:sz="4" w:space="0" w:color="auto"/>
            </w:tcBorders>
            <w:vAlign w:val="bottom"/>
            <w:hideMark/>
          </w:tcPr>
          <w:p w14:paraId="2672D056"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1018</w:t>
            </w:r>
          </w:p>
        </w:tc>
        <w:tc>
          <w:tcPr>
            <w:tcW w:w="1212" w:type="dxa"/>
            <w:tcBorders>
              <w:top w:val="nil"/>
              <w:left w:val="nil"/>
              <w:bottom w:val="single" w:sz="4" w:space="0" w:color="auto"/>
              <w:right w:val="single" w:sz="4" w:space="0" w:color="auto"/>
            </w:tcBorders>
            <w:vAlign w:val="bottom"/>
            <w:hideMark/>
          </w:tcPr>
          <w:p w14:paraId="1DAF3C9A"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316</w:t>
            </w:r>
          </w:p>
        </w:tc>
        <w:tc>
          <w:tcPr>
            <w:tcW w:w="1211" w:type="dxa"/>
            <w:tcBorders>
              <w:top w:val="nil"/>
              <w:left w:val="nil"/>
              <w:bottom w:val="single" w:sz="4" w:space="0" w:color="auto"/>
              <w:right w:val="single" w:sz="4" w:space="0" w:color="auto"/>
            </w:tcBorders>
            <w:vAlign w:val="bottom"/>
            <w:hideMark/>
          </w:tcPr>
          <w:p w14:paraId="66B4A3C1"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37.2</w:t>
            </w:r>
          </w:p>
        </w:tc>
        <w:tc>
          <w:tcPr>
            <w:tcW w:w="1209" w:type="dxa"/>
            <w:tcBorders>
              <w:top w:val="nil"/>
              <w:left w:val="nil"/>
              <w:bottom w:val="single" w:sz="4" w:space="0" w:color="auto"/>
              <w:right w:val="single" w:sz="4" w:space="0" w:color="auto"/>
            </w:tcBorders>
            <w:vAlign w:val="bottom"/>
            <w:hideMark/>
          </w:tcPr>
          <w:p w14:paraId="3AFB0BB7"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48.0</w:t>
            </w:r>
          </w:p>
        </w:tc>
        <w:tc>
          <w:tcPr>
            <w:tcW w:w="1212" w:type="dxa"/>
            <w:tcBorders>
              <w:top w:val="nil"/>
              <w:left w:val="nil"/>
              <w:bottom w:val="single" w:sz="4" w:space="0" w:color="auto"/>
              <w:right w:val="single" w:sz="4" w:space="0" w:color="auto"/>
            </w:tcBorders>
            <w:vAlign w:val="bottom"/>
            <w:hideMark/>
          </w:tcPr>
          <w:p w14:paraId="4BFD34D6"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14.9</w:t>
            </w:r>
          </w:p>
        </w:tc>
      </w:tr>
      <w:tr w:rsidR="00963D30" w:rsidRPr="00963D30" w14:paraId="015D6EE4" w14:textId="77777777" w:rsidTr="00963D30">
        <w:trPr>
          <w:trHeight w:val="290"/>
        </w:trPr>
        <w:tc>
          <w:tcPr>
            <w:tcW w:w="583" w:type="dxa"/>
            <w:tcBorders>
              <w:top w:val="nil"/>
              <w:left w:val="single" w:sz="4" w:space="0" w:color="auto"/>
              <w:bottom w:val="single" w:sz="4" w:space="0" w:color="auto"/>
              <w:right w:val="single" w:sz="4" w:space="0" w:color="auto"/>
            </w:tcBorders>
            <w:noWrap/>
            <w:vAlign w:val="bottom"/>
            <w:hideMark/>
          </w:tcPr>
          <w:p w14:paraId="09888450" w14:textId="77777777" w:rsidR="00963D30" w:rsidRPr="00963D30" w:rsidRDefault="00963D30" w:rsidP="00963D30">
            <w:pPr>
              <w:spacing w:after="0"/>
              <w:ind w:left="0"/>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Q3</w:t>
            </w:r>
          </w:p>
        </w:tc>
        <w:tc>
          <w:tcPr>
            <w:tcW w:w="1218" w:type="dxa"/>
            <w:tcBorders>
              <w:top w:val="nil"/>
              <w:left w:val="nil"/>
              <w:bottom w:val="single" w:sz="4" w:space="0" w:color="auto"/>
              <w:right w:val="single" w:sz="4" w:space="0" w:color="auto"/>
            </w:tcBorders>
            <w:vAlign w:val="bottom"/>
            <w:hideMark/>
          </w:tcPr>
          <w:p w14:paraId="5548B998"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768</w:t>
            </w:r>
          </w:p>
        </w:tc>
        <w:tc>
          <w:tcPr>
            <w:tcW w:w="1209" w:type="dxa"/>
            <w:tcBorders>
              <w:top w:val="nil"/>
              <w:left w:val="nil"/>
              <w:bottom w:val="single" w:sz="4" w:space="0" w:color="auto"/>
              <w:right w:val="single" w:sz="4" w:space="0" w:color="auto"/>
            </w:tcBorders>
            <w:vAlign w:val="bottom"/>
            <w:hideMark/>
          </w:tcPr>
          <w:p w14:paraId="6204CF76"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1035</w:t>
            </w:r>
          </w:p>
        </w:tc>
        <w:tc>
          <w:tcPr>
            <w:tcW w:w="1212" w:type="dxa"/>
            <w:tcBorders>
              <w:top w:val="nil"/>
              <w:left w:val="nil"/>
              <w:bottom w:val="single" w:sz="4" w:space="0" w:color="auto"/>
              <w:right w:val="single" w:sz="4" w:space="0" w:color="auto"/>
            </w:tcBorders>
            <w:vAlign w:val="bottom"/>
            <w:hideMark/>
          </w:tcPr>
          <w:p w14:paraId="6D97DA80"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318</w:t>
            </w:r>
          </w:p>
        </w:tc>
        <w:tc>
          <w:tcPr>
            <w:tcW w:w="1211" w:type="dxa"/>
            <w:tcBorders>
              <w:top w:val="nil"/>
              <w:left w:val="nil"/>
              <w:bottom w:val="single" w:sz="4" w:space="0" w:color="auto"/>
              <w:right w:val="single" w:sz="4" w:space="0" w:color="auto"/>
            </w:tcBorders>
            <w:vAlign w:val="bottom"/>
            <w:hideMark/>
          </w:tcPr>
          <w:p w14:paraId="75A64B45"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36.2</w:t>
            </w:r>
          </w:p>
        </w:tc>
        <w:tc>
          <w:tcPr>
            <w:tcW w:w="1209" w:type="dxa"/>
            <w:tcBorders>
              <w:top w:val="nil"/>
              <w:left w:val="nil"/>
              <w:bottom w:val="single" w:sz="4" w:space="0" w:color="auto"/>
              <w:right w:val="single" w:sz="4" w:space="0" w:color="auto"/>
            </w:tcBorders>
            <w:vAlign w:val="bottom"/>
            <w:hideMark/>
          </w:tcPr>
          <w:p w14:paraId="07A29021"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48.8</w:t>
            </w:r>
          </w:p>
        </w:tc>
        <w:tc>
          <w:tcPr>
            <w:tcW w:w="1212" w:type="dxa"/>
            <w:tcBorders>
              <w:top w:val="nil"/>
              <w:left w:val="nil"/>
              <w:bottom w:val="single" w:sz="4" w:space="0" w:color="auto"/>
              <w:right w:val="single" w:sz="4" w:space="0" w:color="auto"/>
            </w:tcBorders>
            <w:vAlign w:val="bottom"/>
            <w:hideMark/>
          </w:tcPr>
          <w:p w14:paraId="027FF16C"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15.0</w:t>
            </w:r>
          </w:p>
        </w:tc>
      </w:tr>
      <w:tr w:rsidR="00963D30" w:rsidRPr="00963D30" w14:paraId="23D7B04A" w14:textId="77777777" w:rsidTr="00963D30">
        <w:trPr>
          <w:trHeight w:val="290"/>
        </w:trPr>
        <w:tc>
          <w:tcPr>
            <w:tcW w:w="583" w:type="dxa"/>
            <w:tcBorders>
              <w:top w:val="nil"/>
              <w:left w:val="single" w:sz="4" w:space="0" w:color="auto"/>
              <w:bottom w:val="single" w:sz="4" w:space="0" w:color="auto"/>
              <w:right w:val="single" w:sz="4" w:space="0" w:color="auto"/>
            </w:tcBorders>
            <w:noWrap/>
            <w:vAlign w:val="bottom"/>
            <w:hideMark/>
          </w:tcPr>
          <w:p w14:paraId="7873CC36" w14:textId="77777777" w:rsidR="00963D30" w:rsidRPr="00963D30" w:rsidRDefault="00963D30" w:rsidP="00963D30">
            <w:pPr>
              <w:spacing w:after="0"/>
              <w:ind w:left="0"/>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Q4</w:t>
            </w:r>
          </w:p>
        </w:tc>
        <w:tc>
          <w:tcPr>
            <w:tcW w:w="1218" w:type="dxa"/>
            <w:tcBorders>
              <w:top w:val="nil"/>
              <w:left w:val="nil"/>
              <w:bottom w:val="single" w:sz="4" w:space="0" w:color="auto"/>
              <w:right w:val="single" w:sz="4" w:space="0" w:color="auto"/>
            </w:tcBorders>
            <w:vAlign w:val="bottom"/>
            <w:hideMark/>
          </w:tcPr>
          <w:p w14:paraId="0D6E2AFA"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941</w:t>
            </w:r>
          </w:p>
        </w:tc>
        <w:tc>
          <w:tcPr>
            <w:tcW w:w="1209" w:type="dxa"/>
            <w:tcBorders>
              <w:top w:val="nil"/>
              <w:left w:val="nil"/>
              <w:bottom w:val="single" w:sz="4" w:space="0" w:color="auto"/>
              <w:right w:val="single" w:sz="4" w:space="0" w:color="auto"/>
            </w:tcBorders>
            <w:vAlign w:val="bottom"/>
            <w:hideMark/>
          </w:tcPr>
          <w:p w14:paraId="567366C0"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938</w:t>
            </w:r>
          </w:p>
        </w:tc>
        <w:tc>
          <w:tcPr>
            <w:tcW w:w="1212" w:type="dxa"/>
            <w:tcBorders>
              <w:top w:val="nil"/>
              <w:left w:val="nil"/>
              <w:bottom w:val="single" w:sz="4" w:space="0" w:color="auto"/>
              <w:right w:val="single" w:sz="4" w:space="0" w:color="auto"/>
            </w:tcBorders>
            <w:vAlign w:val="bottom"/>
            <w:hideMark/>
          </w:tcPr>
          <w:p w14:paraId="2439BADA"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244</w:t>
            </w:r>
          </w:p>
        </w:tc>
        <w:tc>
          <w:tcPr>
            <w:tcW w:w="1211" w:type="dxa"/>
            <w:tcBorders>
              <w:top w:val="nil"/>
              <w:left w:val="nil"/>
              <w:bottom w:val="single" w:sz="4" w:space="0" w:color="auto"/>
              <w:right w:val="single" w:sz="4" w:space="0" w:color="auto"/>
            </w:tcBorders>
            <w:vAlign w:val="bottom"/>
            <w:hideMark/>
          </w:tcPr>
          <w:p w14:paraId="55C214A3"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44.3</w:t>
            </w:r>
          </w:p>
        </w:tc>
        <w:tc>
          <w:tcPr>
            <w:tcW w:w="1209" w:type="dxa"/>
            <w:tcBorders>
              <w:top w:val="nil"/>
              <w:left w:val="nil"/>
              <w:bottom w:val="single" w:sz="4" w:space="0" w:color="auto"/>
              <w:right w:val="single" w:sz="4" w:space="0" w:color="auto"/>
            </w:tcBorders>
            <w:vAlign w:val="bottom"/>
            <w:hideMark/>
          </w:tcPr>
          <w:p w14:paraId="119E8A15"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44.2</w:t>
            </w:r>
          </w:p>
        </w:tc>
        <w:tc>
          <w:tcPr>
            <w:tcW w:w="1212" w:type="dxa"/>
            <w:tcBorders>
              <w:top w:val="nil"/>
              <w:left w:val="nil"/>
              <w:bottom w:val="single" w:sz="4" w:space="0" w:color="auto"/>
              <w:right w:val="single" w:sz="4" w:space="0" w:color="auto"/>
            </w:tcBorders>
            <w:vAlign w:val="bottom"/>
            <w:hideMark/>
          </w:tcPr>
          <w:p w14:paraId="0A240B71" w14:textId="77777777" w:rsidR="00963D30" w:rsidRPr="00963D30" w:rsidRDefault="00963D30" w:rsidP="00963D30">
            <w:pPr>
              <w:spacing w:after="0"/>
              <w:ind w:left="0"/>
              <w:jc w:val="right"/>
              <w:rPr>
                <w:rFonts w:ascii="Aptos Narrow" w:eastAsia="Times New Roman" w:hAnsi="Aptos Narrow" w:cs="Times New Roman"/>
                <w:color w:val="000000"/>
                <w:kern w:val="0"/>
                <w:sz w:val="22"/>
                <w:szCs w:val="22"/>
                <w:lang w:eastAsia="en-GB"/>
                <w14:ligatures w14:val="none"/>
              </w:rPr>
            </w:pPr>
            <w:r w:rsidRPr="00963D30">
              <w:rPr>
                <w:rFonts w:ascii="Aptos Narrow" w:eastAsia="Times New Roman" w:hAnsi="Aptos Narrow" w:cs="Times New Roman"/>
                <w:color w:val="000000"/>
                <w:kern w:val="0"/>
                <w:sz w:val="22"/>
                <w:szCs w:val="22"/>
                <w:lang w:eastAsia="en-GB"/>
                <w14:ligatures w14:val="none"/>
              </w:rPr>
              <w:t>11.5</w:t>
            </w:r>
          </w:p>
        </w:tc>
      </w:tr>
      <w:tr w:rsidR="00963D30" w:rsidRPr="00963D30" w14:paraId="295D1880" w14:textId="77777777" w:rsidTr="00963D30">
        <w:trPr>
          <w:trHeight w:val="290"/>
        </w:trPr>
        <w:tc>
          <w:tcPr>
            <w:tcW w:w="583" w:type="dxa"/>
            <w:tcBorders>
              <w:top w:val="nil"/>
              <w:left w:val="single" w:sz="4" w:space="0" w:color="auto"/>
              <w:bottom w:val="single" w:sz="4" w:space="0" w:color="auto"/>
              <w:right w:val="single" w:sz="4" w:space="0" w:color="auto"/>
            </w:tcBorders>
            <w:noWrap/>
            <w:vAlign w:val="bottom"/>
            <w:hideMark/>
          </w:tcPr>
          <w:p w14:paraId="2492D03D" w14:textId="77777777" w:rsidR="00963D30" w:rsidRPr="00963D30" w:rsidRDefault="00963D30" w:rsidP="00963D30">
            <w:pPr>
              <w:spacing w:after="0"/>
              <w:ind w:left="0"/>
              <w:rPr>
                <w:rFonts w:ascii="Aptos Narrow" w:eastAsia="Times New Roman" w:hAnsi="Aptos Narrow" w:cs="Times New Roman"/>
                <w:b/>
                <w:bCs/>
                <w:color w:val="000000"/>
                <w:kern w:val="0"/>
                <w:sz w:val="22"/>
                <w:szCs w:val="22"/>
                <w:lang w:eastAsia="en-GB"/>
                <w14:ligatures w14:val="none"/>
              </w:rPr>
            </w:pPr>
            <w:r w:rsidRPr="00963D30">
              <w:rPr>
                <w:rFonts w:ascii="Aptos Narrow" w:eastAsia="Times New Roman" w:hAnsi="Aptos Narrow" w:cs="Times New Roman"/>
                <w:b/>
                <w:bCs/>
                <w:color w:val="000000"/>
                <w:kern w:val="0"/>
                <w:sz w:val="22"/>
                <w:szCs w:val="22"/>
                <w:lang w:eastAsia="en-GB"/>
                <w14:ligatures w14:val="none"/>
              </w:rPr>
              <w:t>Total</w:t>
            </w:r>
          </w:p>
        </w:tc>
        <w:tc>
          <w:tcPr>
            <w:tcW w:w="1218" w:type="dxa"/>
            <w:tcBorders>
              <w:top w:val="nil"/>
              <w:left w:val="nil"/>
              <w:bottom w:val="single" w:sz="4" w:space="0" w:color="auto"/>
              <w:right w:val="single" w:sz="4" w:space="0" w:color="auto"/>
            </w:tcBorders>
            <w:vAlign w:val="bottom"/>
            <w:hideMark/>
          </w:tcPr>
          <w:p w14:paraId="2F4B8755" w14:textId="77777777" w:rsidR="00963D30" w:rsidRPr="00963D30" w:rsidRDefault="00963D30" w:rsidP="00963D30">
            <w:pPr>
              <w:spacing w:after="0"/>
              <w:ind w:left="0"/>
              <w:jc w:val="right"/>
              <w:rPr>
                <w:rFonts w:ascii="Aptos Narrow" w:eastAsia="Times New Roman" w:hAnsi="Aptos Narrow" w:cs="Times New Roman"/>
                <w:b/>
                <w:bCs/>
                <w:color w:val="000000"/>
                <w:kern w:val="0"/>
                <w:sz w:val="22"/>
                <w:szCs w:val="22"/>
                <w:lang w:eastAsia="en-GB"/>
                <w14:ligatures w14:val="none"/>
              </w:rPr>
            </w:pPr>
            <w:r w:rsidRPr="00963D30">
              <w:rPr>
                <w:rFonts w:ascii="Aptos Narrow" w:eastAsia="Times New Roman" w:hAnsi="Aptos Narrow" w:cs="Times New Roman"/>
                <w:b/>
                <w:bCs/>
                <w:color w:val="000000"/>
                <w:kern w:val="0"/>
                <w:sz w:val="22"/>
                <w:szCs w:val="22"/>
                <w:lang w:eastAsia="en-GB"/>
                <w14:ligatures w14:val="none"/>
              </w:rPr>
              <w:t>3377</w:t>
            </w:r>
          </w:p>
        </w:tc>
        <w:tc>
          <w:tcPr>
            <w:tcW w:w="1209" w:type="dxa"/>
            <w:tcBorders>
              <w:top w:val="nil"/>
              <w:left w:val="nil"/>
              <w:bottom w:val="single" w:sz="4" w:space="0" w:color="auto"/>
              <w:right w:val="single" w:sz="4" w:space="0" w:color="auto"/>
            </w:tcBorders>
            <w:vAlign w:val="bottom"/>
            <w:hideMark/>
          </w:tcPr>
          <w:p w14:paraId="7F93932E" w14:textId="77777777" w:rsidR="00963D30" w:rsidRPr="00963D30" w:rsidRDefault="00963D30" w:rsidP="00963D30">
            <w:pPr>
              <w:spacing w:after="0"/>
              <w:ind w:left="0"/>
              <w:jc w:val="right"/>
              <w:rPr>
                <w:rFonts w:ascii="Aptos Narrow" w:eastAsia="Times New Roman" w:hAnsi="Aptos Narrow" w:cs="Times New Roman"/>
                <w:b/>
                <w:bCs/>
                <w:color w:val="000000"/>
                <w:kern w:val="0"/>
                <w:sz w:val="22"/>
                <w:szCs w:val="22"/>
                <w:lang w:eastAsia="en-GB"/>
                <w14:ligatures w14:val="none"/>
              </w:rPr>
            </w:pPr>
            <w:r w:rsidRPr="00963D30">
              <w:rPr>
                <w:rFonts w:ascii="Aptos Narrow" w:eastAsia="Times New Roman" w:hAnsi="Aptos Narrow" w:cs="Times New Roman"/>
                <w:b/>
                <w:bCs/>
                <w:color w:val="000000"/>
                <w:kern w:val="0"/>
                <w:sz w:val="22"/>
                <w:szCs w:val="22"/>
                <w:lang w:eastAsia="en-GB"/>
                <w14:ligatures w14:val="none"/>
              </w:rPr>
              <w:t>3966</w:t>
            </w:r>
          </w:p>
        </w:tc>
        <w:tc>
          <w:tcPr>
            <w:tcW w:w="1212" w:type="dxa"/>
            <w:tcBorders>
              <w:top w:val="nil"/>
              <w:left w:val="nil"/>
              <w:bottom w:val="single" w:sz="4" w:space="0" w:color="auto"/>
              <w:right w:val="single" w:sz="4" w:space="0" w:color="auto"/>
            </w:tcBorders>
            <w:vAlign w:val="bottom"/>
            <w:hideMark/>
          </w:tcPr>
          <w:p w14:paraId="5B823A9A" w14:textId="77777777" w:rsidR="00963D30" w:rsidRPr="00963D30" w:rsidRDefault="00963D30" w:rsidP="00963D30">
            <w:pPr>
              <w:spacing w:after="0"/>
              <w:ind w:left="0"/>
              <w:jc w:val="right"/>
              <w:rPr>
                <w:rFonts w:ascii="Aptos Narrow" w:eastAsia="Times New Roman" w:hAnsi="Aptos Narrow" w:cs="Times New Roman"/>
                <w:b/>
                <w:bCs/>
                <w:color w:val="000000"/>
                <w:kern w:val="0"/>
                <w:sz w:val="22"/>
                <w:szCs w:val="22"/>
                <w:lang w:eastAsia="en-GB"/>
                <w14:ligatures w14:val="none"/>
              </w:rPr>
            </w:pPr>
            <w:r w:rsidRPr="00963D30">
              <w:rPr>
                <w:rFonts w:ascii="Aptos Narrow" w:eastAsia="Times New Roman" w:hAnsi="Aptos Narrow" w:cs="Times New Roman"/>
                <w:b/>
                <w:bCs/>
                <w:color w:val="000000"/>
                <w:kern w:val="0"/>
                <w:sz w:val="22"/>
                <w:szCs w:val="22"/>
                <w:lang w:eastAsia="en-GB"/>
                <w14:ligatures w14:val="none"/>
              </w:rPr>
              <w:t>1145</w:t>
            </w:r>
          </w:p>
        </w:tc>
        <w:tc>
          <w:tcPr>
            <w:tcW w:w="1211" w:type="dxa"/>
            <w:tcBorders>
              <w:top w:val="nil"/>
              <w:left w:val="nil"/>
              <w:bottom w:val="single" w:sz="4" w:space="0" w:color="auto"/>
              <w:right w:val="single" w:sz="4" w:space="0" w:color="auto"/>
            </w:tcBorders>
            <w:vAlign w:val="bottom"/>
            <w:hideMark/>
          </w:tcPr>
          <w:p w14:paraId="2E0F1F8E" w14:textId="77777777" w:rsidR="00963D30" w:rsidRPr="00963D30" w:rsidRDefault="00963D30" w:rsidP="00963D30">
            <w:pPr>
              <w:spacing w:after="0"/>
              <w:ind w:left="0"/>
              <w:jc w:val="right"/>
              <w:rPr>
                <w:rFonts w:ascii="Aptos Narrow" w:eastAsia="Times New Roman" w:hAnsi="Aptos Narrow" w:cs="Times New Roman"/>
                <w:b/>
                <w:bCs/>
                <w:color w:val="000000"/>
                <w:kern w:val="0"/>
                <w:sz w:val="22"/>
                <w:szCs w:val="22"/>
                <w:lang w:eastAsia="en-GB"/>
                <w14:ligatures w14:val="none"/>
              </w:rPr>
            </w:pPr>
            <w:r w:rsidRPr="00963D30">
              <w:rPr>
                <w:rFonts w:ascii="Aptos Narrow" w:eastAsia="Times New Roman" w:hAnsi="Aptos Narrow" w:cs="Times New Roman"/>
                <w:b/>
                <w:bCs/>
                <w:color w:val="000000"/>
                <w:kern w:val="0"/>
                <w:sz w:val="22"/>
                <w:szCs w:val="22"/>
                <w:lang w:eastAsia="en-GB"/>
                <w14:ligatures w14:val="none"/>
              </w:rPr>
              <w:t>39.8</w:t>
            </w:r>
          </w:p>
        </w:tc>
        <w:tc>
          <w:tcPr>
            <w:tcW w:w="1209" w:type="dxa"/>
            <w:tcBorders>
              <w:top w:val="nil"/>
              <w:left w:val="nil"/>
              <w:bottom w:val="single" w:sz="4" w:space="0" w:color="auto"/>
              <w:right w:val="single" w:sz="4" w:space="0" w:color="auto"/>
            </w:tcBorders>
            <w:vAlign w:val="bottom"/>
            <w:hideMark/>
          </w:tcPr>
          <w:p w14:paraId="153A5CDC" w14:textId="77777777" w:rsidR="00963D30" w:rsidRPr="00963D30" w:rsidRDefault="00963D30" w:rsidP="00963D30">
            <w:pPr>
              <w:spacing w:after="0"/>
              <w:ind w:left="0"/>
              <w:jc w:val="right"/>
              <w:rPr>
                <w:rFonts w:ascii="Aptos Narrow" w:eastAsia="Times New Roman" w:hAnsi="Aptos Narrow" w:cs="Times New Roman"/>
                <w:b/>
                <w:bCs/>
                <w:color w:val="000000"/>
                <w:kern w:val="0"/>
                <w:sz w:val="22"/>
                <w:szCs w:val="22"/>
                <w:lang w:eastAsia="en-GB"/>
                <w14:ligatures w14:val="none"/>
              </w:rPr>
            </w:pPr>
            <w:r w:rsidRPr="00963D30">
              <w:rPr>
                <w:rFonts w:ascii="Aptos Narrow" w:eastAsia="Times New Roman" w:hAnsi="Aptos Narrow" w:cs="Times New Roman"/>
                <w:b/>
                <w:bCs/>
                <w:color w:val="000000"/>
                <w:kern w:val="0"/>
                <w:sz w:val="22"/>
                <w:szCs w:val="22"/>
                <w:lang w:eastAsia="en-GB"/>
                <w14:ligatures w14:val="none"/>
              </w:rPr>
              <w:t>46.7</w:t>
            </w:r>
          </w:p>
        </w:tc>
        <w:tc>
          <w:tcPr>
            <w:tcW w:w="1212" w:type="dxa"/>
            <w:tcBorders>
              <w:top w:val="nil"/>
              <w:left w:val="nil"/>
              <w:bottom w:val="single" w:sz="4" w:space="0" w:color="auto"/>
              <w:right w:val="single" w:sz="4" w:space="0" w:color="auto"/>
            </w:tcBorders>
            <w:vAlign w:val="bottom"/>
            <w:hideMark/>
          </w:tcPr>
          <w:p w14:paraId="7B092854" w14:textId="77777777" w:rsidR="00963D30" w:rsidRPr="00963D30" w:rsidRDefault="00963D30" w:rsidP="00963D30">
            <w:pPr>
              <w:spacing w:after="0"/>
              <w:ind w:left="0"/>
              <w:jc w:val="right"/>
              <w:rPr>
                <w:rFonts w:ascii="Aptos Narrow" w:eastAsia="Times New Roman" w:hAnsi="Aptos Narrow" w:cs="Times New Roman"/>
                <w:b/>
                <w:bCs/>
                <w:color w:val="000000"/>
                <w:kern w:val="0"/>
                <w:sz w:val="22"/>
                <w:szCs w:val="22"/>
                <w:lang w:eastAsia="en-GB"/>
                <w14:ligatures w14:val="none"/>
              </w:rPr>
            </w:pPr>
            <w:r w:rsidRPr="00963D30">
              <w:rPr>
                <w:rFonts w:ascii="Aptos Narrow" w:eastAsia="Times New Roman" w:hAnsi="Aptos Narrow" w:cs="Times New Roman"/>
                <w:b/>
                <w:bCs/>
                <w:color w:val="000000"/>
                <w:kern w:val="0"/>
                <w:sz w:val="22"/>
                <w:szCs w:val="22"/>
                <w:lang w:eastAsia="en-GB"/>
                <w14:ligatures w14:val="none"/>
              </w:rPr>
              <w:t>13.5</w:t>
            </w:r>
          </w:p>
        </w:tc>
      </w:tr>
    </w:tbl>
    <w:p w14:paraId="7CA6F0D2" w14:textId="67AC0359" w:rsidR="00963D30" w:rsidRDefault="00963D30" w:rsidP="00DF268B">
      <w:pPr>
        <w:pStyle w:val="NormalWeb"/>
        <w:spacing w:before="0" w:beforeAutospacing="0" w:after="0" w:afterAutospacing="0"/>
        <w:ind w:left="-737"/>
        <w:rPr>
          <w:rFonts w:ascii="Calibri" w:hAnsi="Calibri" w:cs="Calibri"/>
        </w:rPr>
      </w:pPr>
    </w:p>
    <w:p w14:paraId="40209521" w14:textId="77777777" w:rsidR="00963D30" w:rsidRDefault="00963D30" w:rsidP="00DF268B">
      <w:pPr>
        <w:pStyle w:val="NormalWeb"/>
        <w:spacing w:before="0" w:beforeAutospacing="0" w:after="0" w:afterAutospacing="0"/>
        <w:ind w:left="-737"/>
        <w:rPr>
          <w:rFonts w:ascii="Calibri" w:hAnsi="Calibri" w:cs="Calibri"/>
        </w:rPr>
      </w:pPr>
    </w:p>
    <w:p w14:paraId="242257CE" w14:textId="330E1FA5" w:rsidR="00963D30" w:rsidRDefault="00860684" w:rsidP="00DF268B">
      <w:pPr>
        <w:pStyle w:val="NormalWeb"/>
        <w:spacing w:before="0" w:beforeAutospacing="0" w:after="0" w:afterAutospacing="0"/>
        <w:ind w:left="-737"/>
        <w:rPr>
          <w:rFonts w:ascii="Calibri" w:hAnsi="Calibri" w:cs="Calibri"/>
        </w:rPr>
      </w:pPr>
      <w:r>
        <w:rPr>
          <w:rFonts w:ascii="Calibri" w:hAnsi="Calibri" w:cs="Calibri"/>
        </w:rPr>
        <w:lastRenderedPageBreak/>
        <w:t xml:space="preserve">                       </w:t>
      </w:r>
      <w:r>
        <w:rPr>
          <w:noProof/>
        </w:rPr>
        <w:drawing>
          <wp:inline distT="0" distB="0" distL="0" distR="0" wp14:anchorId="1E88CC25" wp14:editId="592401DD">
            <wp:extent cx="5106821" cy="2091350"/>
            <wp:effectExtent l="0" t="0" r="17780" b="4445"/>
            <wp:docPr id="54341476" name="Chart 1" descr="Ethnicity pay gap quartile bar chart">
              <a:extLst xmlns:a="http://schemas.openxmlformats.org/drawingml/2006/main">
                <a:ext uri="{FF2B5EF4-FFF2-40B4-BE49-F238E27FC236}">
                  <a16:creationId xmlns:a16="http://schemas.microsoft.com/office/drawing/2014/main" id="{543C3BC0-4400-4616-AE2B-29B58D4B5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0EEA55" w14:textId="77777777" w:rsidR="00DF268B" w:rsidRDefault="00DF268B" w:rsidP="00EE66CA">
      <w:pPr>
        <w:pStyle w:val="NormalWeb"/>
        <w:spacing w:before="0" w:beforeAutospacing="0" w:after="0" w:afterAutospacing="0"/>
        <w:rPr>
          <w:rFonts w:ascii="Calibri" w:hAnsi="Calibri" w:cs="Calibri"/>
        </w:rPr>
      </w:pPr>
    </w:p>
    <w:p w14:paraId="07F7BAA4" w14:textId="2C1E31F3" w:rsidR="00DF268B" w:rsidRDefault="00DF268B" w:rsidP="00EE66CA">
      <w:pPr>
        <w:pStyle w:val="NormalWeb"/>
        <w:spacing w:before="0" w:beforeAutospacing="0" w:after="0" w:afterAutospacing="0"/>
        <w:rPr>
          <w:rFonts w:ascii="Calibri" w:hAnsi="Calibri" w:cs="Calibri"/>
        </w:rPr>
      </w:pPr>
    </w:p>
    <w:p w14:paraId="54C25FAB" w14:textId="54E52F31" w:rsidR="00AF2905" w:rsidRDefault="00AF2905" w:rsidP="00AF2905">
      <w:pPr>
        <w:pStyle w:val="NormalWeb"/>
        <w:spacing w:before="0" w:beforeAutospacing="0" w:after="0" w:afterAutospacing="0"/>
        <w:ind w:left="-284"/>
        <w:rPr>
          <w:rFonts w:ascii="Calibri" w:hAnsi="Calibri" w:cs="Calibri"/>
        </w:rPr>
      </w:pPr>
      <w:r>
        <w:rPr>
          <w:rFonts w:ascii="Calibri" w:hAnsi="Calibri" w:cs="Calibri"/>
        </w:rPr>
        <w:t>5.</w:t>
      </w:r>
      <w:r w:rsidR="00DF268B">
        <w:rPr>
          <w:rFonts w:ascii="Calibri" w:hAnsi="Calibri" w:cs="Calibri"/>
        </w:rPr>
        <w:t>7</w:t>
      </w:r>
      <w:r>
        <w:rPr>
          <w:rFonts w:ascii="Calibri" w:hAnsi="Calibri" w:cs="Calibri"/>
        </w:rPr>
        <w:t xml:space="preserve">    </w:t>
      </w:r>
      <w:r w:rsidR="00DF268B">
        <w:rPr>
          <w:rFonts w:ascii="Calibri" w:hAnsi="Calibri" w:cs="Calibri"/>
        </w:rPr>
        <w:t xml:space="preserve">  </w:t>
      </w:r>
      <w:r w:rsidR="00092202">
        <w:rPr>
          <w:rFonts w:ascii="Calibri" w:hAnsi="Calibri" w:cs="Calibri"/>
        </w:rPr>
        <w:t>Whilst there has been an overall narrowing of the mean ethnicity pay gap since 2022</w:t>
      </w:r>
      <w:r>
        <w:rPr>
          <w:rFonts w:ascii="Calibri" w:hAnsi="Calibri" w:cs="Calibri"/>
        </w:rPr>
        <w:t>.</w:t>
      </w:r>
      <w:r w:rsidR="00092202">
        <w:rPr>
          <w:rFonts w:ascii="Calibri" w:hAnsi="Calibri" w:cs="Calibri"/>
        </w:rPr>
        <w:t xml:space="preserve">    </w:t>
      </w:r>
      <w:r>
        <w:rPr>
          <w:rFonts w:ascii="Calibri" w:hAnsi="Calibri" w:cs="Calibri"/>
        </w:rPr>
        <w:t xml:space="preserve"> </w:t>
      </w:r>
    </w:p>
    <w:p w14:paraId="327E3B80" w14:textId="32FD5C33" w:rsidR="00092202" w:rsidRDefault="00AF2905" w:rsidP="00AF2905">
      <w:pPr>
        <w:pStyle w:val="NormalWeb"/>
        <w:spacing w:before="0" w:beforeAutospacing="0" w:after="0" w:afterAutospacing="0"/>
        <w:ind w:left="-284"/>
        <w:rPr>
          <w:rFonts w:ascii="Calibri" w:hAnsi="Calibri" w:cs="Calibri"/>
        </w:rPr>
      </w:pPr>
      <w:r>
        <w:rPr>
          <w:rFonts w:ascii="Calibri" w:hAnsi="Calibri" w:cs="Calibri"/>
        </w:rPr>
        <w:t xml:space="preserve">            p</w:t>
      </w:r>
      <w:r w:rsidR="00092202">
        <w:rPr>
          <w:rFonts w:ascii="Calibri" w:hAnsi="Calibri" w:cs="Calibri"/>
        </w:rPr>
        <w:t>a</w:t>
      </w:r>
      <w:r>
        <w:rPr>
          <w:rFonts w:ascii="Calibri" w:hAnsi="Calibri" w:cs="Calibri"/>
        </w:rPr>
        <w:t xml:space="preserve">y </w:t>
      </w:r>
      <w:r w:rsidR="00092202">
        <w:rPr>
          <w:rFonts w:ascii="Calibri" w:hAnsi="Calibri" w:cs="Calibri"/>
        </w:rPr>
        <w:t xml:space="preserve">gap trend data indicate that further and targeted work is required to reduce the pay </w:t>
      </w:r>
    </w:p>
    <w:p w14:paraId="2869ACBF" w14:textId="3EC42E41" w:rsidR="00092202" w:rsidRDefault="00092202" w:rsidP="00092202">
      <w:pPr>
        <w:pStyle w:val="NormalWeb"/>
        <w:spacing w:before="0" w:beforeAutospacing="0" w:after="0" w:afterAutospacing="0"/>
        <w:ind w:left="-284"/>
        <w:rPr>
          <w:rFonts w:ascii="Calibri" w:hAnsi="Calibri" w:cs="Calibri"/>
        </w:rPr>
      </w:pPr>
      <w:r>
        <w:rPr>
          <w:rFonts w:ascii="Calibri" w:hAnsi="Calibri" w:cs="Calibri"/>
        </w:rPr>
        <w:t xml:space="preserve">           </w:t>
      </w:r>
      <w:r w:rsidR="00AF2905">
        <w:rPr>
          <w:rFonts w:ascii="Calibri" w:hAnsi="Calibri" w:cs="Calibri"/>
        </w:rPr>
        <w:t xml:space="preserve"> </w:t>
      </w:r>
      <w:r>
        <w:rPr>
          <w:rFonts w:ascii="Calibri" w:hAnsi="Calibri" w:cs="Calibri"/>
        </w:rPr>
        <w:t xml:space="preserve">gap between White and BME employees and address under-representation in senior </w:t>
      </w:r>
    </w:p>
    <w:p w14:paraId="69280807" w14:textId="6B727A22" w:rsidR="00947BB0" w:rsidRDefault="00092202" w:rsidP="00092202">
      <w:pPr>
        <w:pStyle w:val="NormalWeb"/>
        <w:spacing w:before="0" w:beforeAutospacing="0" w:after="0" w:afterAutospacing="0"/>
        <w:ind w:left="-284"/>
        <w:rPr>
          <w:rFonts w:ascii="Calibri" w:hAnsi="Calibri" w:cs="Calibri"/>
        </w:rPr>
      </w:pPr>
      <w:r>
        <w:rPr>
          <w:rFonts w:ascii="Calibri" w:hAnsi="Calibri" w:cs="Calibri"/>
        </w:rPr>
        <w:t xml:space="preserve">         </w:t>
      </w:r>
      <w:r w:rsidR="00AF2905">
        <w:rPr>
          <w:rFonts w:ascii="Calibri" w:hAnsi="Calibri" w:cs="Calibri"/>
        </w:rPr>
        <w:t xml:space="preserve"> </w:t>
      </w:r>
      <w:r>
        <w:rPr>
          <w:rFonts w:ascii="Calibri" w:hAnsi="Calibri" w:cs="Calibri"/>
        </w:rPr>
        <w:t xml:space="preserve">  roles.</w:t>
      </w:r>
      <w:r w:rsidR="00947BB0">
        <w:rPr>
          <w:rFonts w:ascii="Calibri" w:hAnsi="Calibri" w:cs="Calibri"/>
        </w:rPr>
        <w:t xml:space="preserve"> In addition, further work is </w:t>
      </w:r>
      <w:r w:rsidR="00095B3A">
        <w:rPr>
          <w:rFonts w:ascii="Calibri" w:hAnsi="Calibri" w:cs="Calibri"/>
        </w:rPr>
        <w:t>necessary</w:t>
      </w:r>
      <w:r w:rsidR="00947BB0">
        <w:rPr>
          <w:rFonts w:ascii="Calibri" w:hAnsi="Calibri" w:cs="Calibri"/>
        </w:rPr>
        <w:t xml:space="preserve"> to improve ethnicity declaration rates to  </w:t>
      </w:r>
    </w:p>
    <w:p w14:paraId="45A14783" w14:textId="30818EE1" w:rsidR="00640056" w:rsidRDefault="00947BB0" w:rsidP="00FB4EC5">
      <w:pPr>
        <w:pStyle w:val="NormalWeb"/>
        <w:spacing w:before="0" w:beforeAutospacing="0" w:after="0" w:afterAutospacing="0"/>
        <w:ind w:left="-284"/>
        <w:rPr>
          <w:rFonts w:ascii="Calibri" w:hAnsi="Calibri" w:cs="Calibri"/>
        </w:rPr>
      </w:pPr>
      <w:r>
        <w:rPr>
          <w:rFonts w:ascii="Calibri" w:hAnsi="Calibri" w:cs="Calibri"/>
        </w:rPr>
        <w:t xml:space="preserve">            ensure improved robustness </w:t>
      </w:r>
      <w:r w:rsidR="00095B3A">
        <w:rPr>
          <w:rFonts w:ascii="Calibri" w:hAnsi="Calibri" w:cs="Calibri"/>
        </w:rPr>
        <w:t>of pay gap</w:t>
      </w:r>
      <w:r>
        <w:rPr>
          <w:rFonts w:ascii="Calibri" w:hAnsi="Calibri" w:cs="Calibri"/>
        </w:rPr>
        <w:t xml:space="preserve"> data.</w:t>
      </w:r>
    </w:p>
    <w:p w14:paraId="545EE666" w14:textId="77777777" w:rsidR="00092202" w:rsidRDefault="00092202" w:rsidP="00092202">
      <w:pPr>
        <w:pStyle w:val="NormalWeb"/>
        <w:spacing w:before="0" w:beforeAutospacing="0" w:after="0" w:afterAutospacing="0"/>
        <w:ind w:left="-284"/>
        <w:rPr>
          <w:rFonts w:ascii="Calibri" w:hAnsi="Calibri" w:cs="Calibri"/>
        </w:rPr>
      </w:pPr>
    </w:p>
    <w:p w14:paraId="008D035A" w14:textId="37958B67" w:rsidR="0090308F" w:rsidRDefault="00AF2905" w:rsidP="0090308F">
      <w:pPr>
        <w:pStyle w:val="NormalWeb"/>
        <w:spacing w:before="0" w:beforeAutospacing="0" w:after="0" w:afterAutospacing="0"/>
        <w:ind w:left="-340"/>
        <w:rPr>
          <w:rFonts w:ascii="Arial" w:hAnsi="Arial" w:cs="Arial"/>
          <w:b/>
          <w:bCs/>
        </w:rPr>
      </w:pPr>
      <w:r w:rsidRPr="002211FA">
        <w:rPr>
          <w:rFonts w:ascii="Calibri" w:hAnsi="Calibri" w:cs="Calibri"/>
        </w:rPr>
        <w:t xml:space="preserve"> </w:t>
      </w:r>
      <w:r w:rsidR="0090308F" w:rsidRPr="002211FA">
        <w:rPr>
          <w:rFonts w:ascii="Calibri" w:hAnsi="Calibri" w:cs="Calibri"/>
        </w:rPr>
        <w:t>5.</w:t>
      </w:r>
      <w:r w:rsidR="00DF268B" w:rsidRPr="002211FA">
        <w:rPr>
          <w:rFonts w:ascii="Calibri" w:hAnsi="Calibri" w:cs="Calibri"/>
        </w:rPr>
        <w:t>8</w:t>
      </w:r>
      <w:r w:rsidR="0090308F">
        <w:rPr>
          <w:rFonts w:ascii="Calibri" w:hAnsi="Calibri" w:cs="Calibri"/>
        </w:rPr>
        <w:t xml:space="preserve">    </w:t>
      </w:r>
      <w:r w:rsidR="009C20EB">
        <w:rPr>
          <w:rFonts w:ascii="Calibri" w:hAnsi="Calibri" w:cs="Calibri"/>
        </w:rPr>
        <w:t xml:space="preserve"> </w:t>
      </w:r>
      <w:bookmarkStart w:id="6" w:name="_Hlk209126984"/>
      <w:r w:rsidR="00064BEC">
        <w:rPr>
          <w:rFonts w:ascii="Calibri" w:hAnsi="Calibri" w:cs="Calibri"/>
        </w:rPr>
        <w:t xml:space="preserve"> </w:t>
      </w:r>
      <w:r w:rsidR="0090308F" w:rsidRPr="00B6554A">
        <w:rPr>
          <w:rFonts w:ascii="Arial" w:hAnsi="Arial" w:cs="Arial"/>
          <w:b/>
          <w:bCs/>
        </w:rPr>
        <w:t xml:space="preserve">ACTIONS TAKEN </w:t>
      </w:r>
      <w:r w:rsidR="0090308F">
        <w:rPr>
          <w:rFonts w:ascii="Arial" w:hAnsi="Arial" w:cs="Arial"/>
          <w:b/>
          <w:bCs/>
        </w:rPr>
        <w:t>TO ADDRESS THE</w:t>
      </w:r>
      <w:r w:rsidR="0090308F" w:rsidRPr="00B6554A">
        <w:rPr>
          <w:rFonts w:ascii="Arial" w:hAnsi="Arial" w:cs="Arial"/>
          <w:b/>
          <w:bCs/>
        </w:rPr>
        <w:t xml:space="preserve"> PAY GAP OVER THE LAST TWELVE </w:t>
      </w:r>
      <w:r w:rsidR="0090308F">
        <w:rPr>
          <w:rFonts w:ascii="Arial" w:hAnsi="Arial" w:cs="Arial"/>
          <w:b/>
          <w:bCs/>
        </w:rPr>
        <w:t xml:space="preserve"> </w:t>
      </w:r>
    </w:p>
    <w:p w14:paraId="1D4EF88A" w14:textId="7F11C542" w:rsidR="0090308F" w:rsidRPr="002D167C" w:rsidRDefault="0090308F" w:rsidP="00DE45C0">
      <w:pPr>
        <w:pStyle w:val="NormalWeb"/>
        <w:spacing w:before="0" w:beforeAutospacing="0" w:after="0" w:afterAutospacing="0"/>
        <w:ind w:left="-340"/>
        <w:rPr>
          <w:rFonts w:ascii="Arial" w:hAnsi="Arial" w:cs="Arial"/>
          <w:b/>
          <w:bCs/>
        </w:rPr>
      </w:pPr>
      <w:r>
        <w:rPr>
          <w:rFonts w:ascii="Calibri" w:hAnsi="Calibri" w:cs="Calibri"/>
        </w:rPr>
        <w:t xml:space="preserve">            </w:t>
      </w:r>
      <w:r w:rsidR="00064BEC">
        <w:rPr>
          <w:rFonts w:ascii="Calibri" w:hAnsi="Calibri" w:cs="Calibri"/>
        </w:rPr>
        <w:t xml:space="preserve"> </w:t>
      </w:r>
      <w:r w:rsidRPr="002D167C">
        <w:rPr>
          <w:rFonts w:ascii="Arial" w:hAnsi="Arial" w:cs="Arial"/>
          <w:b/>
          <w:bCs/>
        </w:rPr>
        <w:t>MONTHS</w:t>
      </w:r>
    </w:p>
    <w:p w14:paraId="794FD5F8" w14:textId="5878EC85" w:rsidR="009C20EB" w:rsidRPr="002D167C" w:rsidRDefault="0090308F" w:rsidP="009C20EB">
      <w:pPr>
        <w:spacing w:after="0"/>
        <w:ind w:left="0"/>
        <w:jc w:val="both"/>
        <w:rPr>
          <w:rFonts w:ascii="Calibri" w:hAnsi="Calibri" w:cs="Calibri"/>
        </w:rPr>
      </w:pPr>
      <w:r w:rsidRPr="002D167C">
        <w:rPr>
          <w:rFonts w:ascii="Arial" w:hAnsi="Arial" w:cs="Arial"/>
        </w:rPr>
        <w:t xml:space="preserve">    </w:t>
      </w:r>
      <w:r w:rsidR="00064BEC">
        <w:rPr>
          <w:rFonts w:ascii="Arial" w:hAnsi="Arial" w:cs="Arial"/>
        </w:rPr>
        <w:t xml:space="preserve"> </w:t>
      </w:r>
      <w:r w:rsidRPr="002D167C">
        <w:rPr>
          <w:rFonts w:ascii="Calibri" w:hAnsi="Calibri" w:cs="Calibri"/>
        </w:rPr>
        <w:t>The Trust has continued to implement strategies to reduce the ethnicity pay gap</w:t>
      </w:r>
      <w:r w:rsidR="009C20EB" w:rsidRPr="002D167C">
        <w:rPr>
          <w:rFonts w:ascii="Calibri" w:hAnsi="Calibri" w:cs="Calibri"/>
        </w:rPr>
        <w:t xml:space="preserve"> through  </w:t>
      </w:r>
    </w:p>
    <w:p w14:paraId="1C0E7ECC" w14:textId="255CFE42" w:rsidR="009C20EB" w:rsidRPr="002D167C" w:rsidRDefault="009C20EB" w:rsidP="009C20EB">
      <w:pPr>
        <w:spacing w:after="0"/>
        <w:ind w:left="0"/>
        <w:jc w:val="both"/>
        <w:rPr>
          <w:rFonts w:ascii="Calibri" w:hAnsi="Calibri" w:cs="Calibri"/>
        </w:rPr>
      </w:pPr>
      <w:r w:rsidRPr="002D167C">
        <w:rPr>
          <w:rFonts w:ascii="Calibri" w:hAnsi="Calibri" w:cs="Calibri"/>
        </w:rPr>
        <w:t xml:space="preserve">     </w:t>
      </w:r>
      <w:r w:rsidR="00064BEC">
        <w:rPr>
          <w:rFonts w:ascii="Calibri" w:hAnsi="Calibri" w:cs="Calibri"/>
        </w:rPr>
        <w:t xml:space="preserve">  </w:t>
      </w:r>
      <w:r w:rsidRPr="002D167C">
        <w:rPr>
          <w:rFonts w:ascii="Calibri" w:hAnsi="Calibri" w:cs="Calibri"/>
        </w:rPr>
        <w:t>the Trust’s EDI plan and has undertaken the following activities.</w:t>
      </w:r>
    </w:p>
    <w:p w14:paraId="5902E5F3" w14:textId="77777777" w:rsidR="009C20EB" w:rsidRPr="002D167C" w:rsidRDefault="009C20EB" w:rsidP="009C20EB">
      <w:pPr>
        <w:spacing w:after="0"/>
        <w:ind w:left="0"/>
        <w:jc w:val="both"/>
        <w:rPr>
          <w:rFonts w:ascii="Calibri" w:hAnsi="Calibri" w:cs="Calibri"/>
        </w:rPr>
      </w:pPr>
    </w:p>
    <w:p w14:paraId="46C40F7A" w14:textId="4348C5B1" w:rsidR="009C20EB" w:rsidRPr="002D167C" w:rsidRDefault="009C20EB" w:rsidP="009C20EB">
      <w:pPr>
        <w:pStyle w:val="ListParagraph"/>
        <w:numPr>
          <w:ilvl w:val="0"/>
          <w:numId w:val="35"/>
        </w:numPr>
        <w:jc w:val="both"/>
        <w:rPr>
          <w:rFonts w:ascii="Calibri" w:hAnsi="Calibri" w:cs="Calibri"/>
        </w:rPr>
      </w:pPr>
      <w:r w:rsidRPr="002D167C">
        <w:rPr>
          <w:rFonts w:ascii="Calibri" w:hAnsi="Calibri" w:cs="Calibri"/>
        </w:rPr>
        <w:t>Through the Inclusive Recruitment Group, the Trust has reviewed its approach to recruitment and selection processes, ensuring the recruitment process is inclusive, fair and equitable.</w:t>
      </w:r>
    </w:p>
    <w:p w14:paraId="06C83884" w14:textId="460E56FA" w:rsidR="009C20EB" w:rsidRPr="002D167C" w:rsidRDefault="009C20EB" w:rsidP="009C20EB">
      <w:pPr>
        <w:pStyle w:val="ListParagraph"/>
        <w:numPr>
          <w:ilvl w:val="0"/>
          <w:numId w:val="35"/>
        </w:numPr>
        <w:jc w:val="both"/>
        <w:rPr>
          <w:rFonts w:ascii="Calibri" w:hAnsi="Calibri" w:cs="Calibri"/>
        </w:rPr>
      </w:pPr>
      <w:r w:rsidRPr="002D167C">
        <w:rPr>
          <w:rFonts w:ascii="Calibri" w:hAnsi="Calibri" w:cs="Calibri"/>
        </w:rPr>
        <w:t>Launched a revised inclusive recruitment training programme for recruiting managers, raising awareness of bias and discrimination in recruitment linked to the WRES data</w:t>
      </w:r>
    </w:p>
    <w:p w14:paraId="33456283" w14:textId="65E65013" w:rsidR="009C20EB" w:rsidRPr="002D167C" w:rsidRDefault="00E011BF" w:rsidP="009C20EB">
      <w:pPr>
        <w:pStyle w:val="ListParagraph"/>
        <w:numPr>
          <w:ilvl w:val="0"/>
          <w:numId w:val="35"/>
        </w:numPr>
        <w:jc w:val="both"/>
        <w:rPr>
          <w:rFonts w:ascii="Calibri" w:hAnsi="Calibri" w:cs="Calibri"/>
        </w:rPr>
      </w:pPr>
      <w:r>
        <w:rPr>
          <w:rFonts w:ascii="Calibri" w:hAnsi="Calibri" w:cs="Calibri"/>
        </w:rPr>
        <w:t xml:space="preserve">Commenced </w:t>
      </w:r>
      <w:r w:rsidR="009C20EB" w:rsidRPr="002D167C">
        <w:rPr>
          <w:rFonts w:ascii="Calibri" w:hAnsi="Calibri" w:cs="Calibri"/>
        </w:rPr>
        <w:t xml:space="preserve"> a review of the BME Panellists process with a view to improving representation on recruitment panels</w:t>
      </w:r>
    </w:p>
    <w:p w14:paraId="749D2CBF" w14:textId="4F9AE07D" w:rsidR="009C20EB" w:rsidRPr="002D167C" w:rsidRDefault="009C20EB" w:rsidP="009C20EB">
      <w:pPr>
        <w:pStyle w:val="ListParagraph"/>
        <w:numPr>
          <w:ilvl w:val="0"/>
          <w:numId w:val="35"/>
        </w:numPr>
        <w:jc w:val="both"/>
        <w:rPr>
          <w:rFonts w:ascii="Calibri" w:hAnsi="Calibri" w:cs="Calibri"/>
        </w:rPr>
      </w:pPr>
      <w:r w:rsidRPr="002D167C">
        <w:rPr>
          <w:rFonts w:ascii="Calibri" w:hAnsi="Calibri" w:cs="Calibri"/>
        </w:rPr>
        <w:t xml:space="preserve">Launched an inclusive talent management programme to support the career progression of BME staff into senior roles </w:t>
      </w:r>
    </w:p>
    <w:p w14:paraId="5AC7BEB3" w14:textId="03A2F15B" w:rsidR="00EE66CA" w:rsidRPr="002D167C" w:rsidRDefault="009C20EB" w:rsidP="00EE66CA">
      <w:pPr>
        <w:pStyle w:val="ListParagraph"/>
        <w:numPr>
          <w:ilvl w:val="0"/>
          <w:numId w:val="35"/>
        </w:numPr>
        <w:jc w:val="both"/>
        <w:rPr>
          <w:rFonts w:ascii="Calibri" w:hAnsi="Calibri" w:cs="Calibri"/>
        </w:rPr>
      </w:pPr>
      <w:r w:rsidRPr="002D167C">
        <w:rPr>
          <w:rFonts w:ascii="Calibri" w:hAnsi="Calibri" w:cs="Calibri"/>
        </w:rPr>
        <w:t>Worked with the BME Network to understand the barriers and challenges to progression within</w:t>
      </w:r>
      <w:r w:rsidR="00EE66CA" w:rsidRPr="002D167C">
        <w:rPr>
          <w:rFonts w:ascii="Calibri" w:hAnsi="Calibri" w:cs="Calibri"/>
        </w:rPr>
        <w:t xml:space="preserve"> </w:t>
      </w:r>
      <w:r w:rsidRPr="002D167C">
        <w:rPr>
          <w:rFonts w:ascii="Calibri" w:hAnsi="Calibri" w:cs="Calibri"/>
        </w:rPr>
        <w:t>the Trust and used the feedback to support improvements</w:t>
      </w:r>
    </w:p>
    <w:p w14:paraId="24BEA136" w14:textId="1D11F0A6" w:rsidR="0090308F" w:rsidRPr="002D167C" w:rsidRDefault="0090308F" w:rsidP="00EE66CA">
      <w:pPr>
        <w:pStyle w:val="ListParagraph"/>
        <w:numPr>
          <w:ilvl w:val="0"/>
          <w:numId w:val="35"/>
        </w:numPr>
        <w:jc w:val="both"/>
        <w:rPr>
          <w:rFonts w:ascii="Calibri" w:hAnsi="Calibri" w:cs="Calibri"/>
        </w:rPr>
      </w:pPr>
      <w:r w:rsidRPr="002D167C">
        <w:rPr>
          <w:rFonts w:ascii="Calibri" w:hAnsi="Calibri" w:cs="Calibri"/>
        </w:rPr>
        <w:t>Employability programmes and career fairs targeting</w:t>
      </w:r>
      <w:r w:rsidR="009C20EB" w:rsidRPr="002D167C">
        <w:rPr>
          <w:rFonts w:ascii="Calibri" w:hAnsi="Calibri" w:cs="Calibri"/>
        </w:rPr>
        <w:t xml:space="preserve"> BME communities</w:t>
      </w:r>
    </w:p>
    <w:p w14:paraId="0E27ADCF" w14:textId="77777777" w:rsidR="00F9112A" w:rsidRDefault="00F9112A" w:rsidP="00F9112A">
      <w:pPr>
        <w:ind w:left="0"/>
        <w:jc w:val="both"/>
        <w:rPr>
          <w:rFonts w:ascii="Calibri" w:hAnsi="Calibri" w:cs="Calibri"/>
          <w:highlight w:val="yellow"/>
        </w:rPr>
      </w:pPr>
    </w:p>
    <w:p w14:paraId="05840DDA" w14:textId="77777777" w:rsidR="00F9112A" w:rsidRDefault="00F9112A" w:rsidP="00F9112A">
      <w:pPr>
        <w:ind w:left="0"/>
        <w:jc w:val="both"/>
        <w:rPr>
          <w:rFonts w:ascii="Calibri" w:hAnsi="Calibri" w:cs="Calibri"/>
          <w:highlight w:val="yellow"/>
        </w:rPr>
      </w:pPr>
    </w:p>
    <w:p w14:paraId="408378B7" w14:textId="77777777" w:rsidR="00F9112A" w:rsidRDefault="00F9112A" w:rsidP="00F9112A">
      <w:pPr>
        <w:ind w:left="0"/>
        <w:jc w:val="both"/>
        <w:rPr>
          <w:rFonts w:ascii="Calibri" w:hAnsi="Calibri" w:cs="Calibri"/>
          <w:highlight w:val="yellow"/>
        </w:rPr>
      </w:pPr>
    </w:p>
    <w:p w14:paraId="15490BB3" w14:textId="77777777" w:rsidR="002211FA" w:rsidRDefault="002211FA" w:rsidP="00F9112A">
      <w:pPr>
        <w:ind w:left="0"/>
        <w:jc w:val="both"/>
        <w:rPr>
          <w:rFonts w:ascii="Calibri" w:hAnsi="Calibri" w:cs="Calibri"/>
          <w:highlight w:val="yellow"/>
        </w:rPr>
      </w:pPr>
    </w:p>
    <w:p w14:paraId="716C347E" w14:textId="77777777" w:rsidR="002D02E1" w:rsidRDefault="002D02E1" w:rsidP="00F9112A">
      <w:pPr>
        <w:ind w:left="0"/>
        <w:jc w:val="both"/>
        <w:rPr>
          <w:rFonts w:ascii="Calibri" w:hAnsi="Calibri" w:cs="Calibri"/>
          <w:highlight w:val="yellow"/>
        </w:rPr>
      </w:pPr>
    </w:p>
    <w:p w14:paraId="52AA7E2A" w14:textId="77777777" w:rsidR="00640056" w:rsidRDefault="00640056" w:rsidP="00F9112A">
      <w:pPr>
        <w:ind w:left="0"/>
        <w:jc w:val="both"/>
        <w:rPr>
          <w:rFonts w:ascii="Calibri" w:hAnsi="Calibri" w:cs="Calibri"/>
          <w:highlight w:val="yellow"/>
        </w:rPr>
      </w:pPr>
    </w:p>
    <w:p w14:paraId="455E66B2" w14:textId="77777777" w:rsidR="00D74C53" w:rsidRPr="00F9112A" w:rsidRDefault="00D74C53" w:rsidP="00F9112A">
      <w:pPr>
        <w:ind w:left="0"/>
        <w:jc w:val="both"/>
        <w:rPr>
          <w:rFonts w:ascii="Calibri" w:hAnsi="Calibri" w:cs="Calibri"/>
          <w:highlight w:val="yellow"/>
        </w:rPr>
      </w:pPr>
    </w:p>
    <w:bookmarkEnd w:id="6"/>
    <w:p w14:paraId="238BEB09" w14:textId="3BB77C03" w:rsidR="00D74C53" w:rsidRPr="00064BEC" w:rsidRDefault="00064BEC" w:rsidP="00064BEC">
      <w:pPr>
        <w:pStyle w:val="Heading2"/>
        <w:ind w:left="-397"/>
      </w:pPr>
      <w:r>
        <w:lastRenderedPageBreak/>
        <w:t xml:space="preserve">   6.0   </w:t>
      </w:r>
      <w:r w:rsidR="00EE66CA" w:rsidRPr="00D74C53">
        <w:t>Disability Pay Gap Analysis</w:t>
      </w:r>
    </w:p>
    <w:p w14:paraId="3A79510D" w14:textId="2005203E" w:rsidR="00DD527E" w:rsidRPr="00EF78C9" w:rsidRDefault="00EF78C9" w:rsidP="00EF78C9">
      <w:pPr>
        <w:spacing w:after="0"/>
        <w:ind w:left="-113"/>
        <w:jc w:val="both"/>
        <w:rPr>
          <w:rFonts w:ascii="Calibri" w:hAnsi="Calibri" w:cs="Calibri"/>
          <w:b/>
          <w:bCs/>
        </w:rPr>
      </w:pPr>
      <w:r>
        <w:rPr>
          <w:rFonts w:ascii="Calibri" w:hAnsi="Calibri" w:cs="Calibri"/>
        </w:rPr>
        <w:t xml:space="preserve">          </w:t>
      </w:r>
      <w:r w:rsidR="00DD527E" w:rsidRPr="00DD527E">
        <w:rPr>
          <w:rFonts w:ascii="Calibri" w:hAnsi="Calibri" w:cs="Calibri"/>
        </w:rPr>
        <w:t xml:space="preserve">The UK government is actively pursuing mandatory disability pay gap reporting through </w:t>
      </w:r>
      <w:r w:rsidR="00DD527E">
        <w:rPr>
          <w:rFonts w:ascii="Calibri" w:hAnsi="Calibri" w:cs="Calibri"/>
        </w:rPr>
        <w:t xml:space="preserve"> </w:t>
      </w:r>
    </w:p>
    <w:p w14:paraId="5913CA87" w14:textId="77777777" w:rsidR="00DD527E" w:rsidRDefault="00DD527E" w:rsidP="00EF78C9">
      <w:pPr>
        <w:spacing w:after="0"/>
        <w:ind w:left="-113"/>
        <w:jc w:val="both"/>
        <w:rPr>
          <w:rFonts w:ascii="Calibri" w:hAnsi="Calibri" w:cs="Calibri"/>
        </w:rPr>
      </w:pPr>
      <w:r>
        <w:rPr>
          <w:rFonts w:ascii="Calibri" w:hAnsi="Calibri" w:cs="Calibri"/>
        </w:rPr>
        <w:t xml:space="preserve">          </w:t>
      </w:r>
      <w:r w:rsidRPr="00DD527E">
        <w:rPr>
          <w:rFonts w:ascii="Calibri" w:hAnsi="Calibri" w:cs="Calibri"/>
        </w:rPr>
        <w:t xml:space="preserve">the forthcoming Equality (Race and Disability) Bill. This initiative aims to extend reporting </w:t>
      </w:r>
    </w:p>
    <w:p w14:paraId="69D083F7" w14:textId="77777777" w:rsidR="00DD527E" w:rsidRDefault="00DD527E" w:rsidP="00234676">
      <w:pPr>
        <w:spacing w:after="0"/>
        <w:ind w:left="0"/>
        <w:jc w:val="both"/>
        <w:rPr>
          <w:rFonts w:ascii="Calibri" w:hAnsi="Calibri" w:cs="Calibri"/>
        </w:rPr>
      </w:pPr>
      <w:r>
        <w:rPr>
          <w:rFonts w:ascii="Calibri" w:hAnsi="Calibri" w:cs="Calibri"/>
        </w:rPr>
        <w:t xml:space="preserve">        </w:t>
      </w:r>
      <w:r w:rsidRPr="00DD527E">
        <w:rPr>
          <w:rFonts w:ascii="Calibri" w:hAnsi="Calibri" w:cs="Calibri"/>
        </w:rPr>
        <w:t xml:space="preserve">obligations, which currently apply to gender pay gaps, to include disability and ethnicity </w:t>
      </w:r>
    </w:p>
    <w:p w14:paraId="44BCA1EA" w14:textId="77777777" w:rsidR="00DD527E" w:rsidRDefault="00DD527E" w:rsidP="00234676">
      <w:pPr>
        <w:spacing w:after="0"/>
        <w:ind w:left="0"/>
        <w:jc w:val="both"/>
        <w:rPr>
          <w:rFonts w:ascii="Calibri" w:hAnsi="Calibri" w:cs="Calibri"/>
        </w:rPr>
      </w:pPr>
      <w:r>
        <w:rPr>
          <w:rFonts w:ascii="Calibri" w:hAnsi="Calibri" w:cs="Calibri"/>
        </w:rPr>
        <w:t xml:space="preserve">        </w:t>
      </w:r>
      <w:r w:rsidRPr="00DD527E">
        <w:rPr>
          <w:rFonts w:ascii="Calibri" w:hAnsi="Calibri" w:cs="Calibri"/>
        </w:rPr>
        <w:t xml:space="preserve">pay gaps for employers with 250 or more employees. The consultation for this proposal </w:t>
      </w:r>
    </w:p>
    <w:p w14:paraId="14242C8B" w14:textId="77777777" w:rsidR="00DD527E" w:rsidRDefault="00DD527E" w:rsidP="00234676">
      <w:pPr>
        <w:spacing w:after="0"/>
        <w:ind w:left="0"/>
        <w:jc w:val="both"/>
        <w:rPr>
          <w:rFonts w:ascii="Calibri" w:hAnsi="Calibri" w:cs="Calibri"/>
        </w:rPr>
      </w:pPr>
      <w:r>
        <w:rPr>
          <w:rFonts w:ascii="Calibri" w:hAnsi="Calibri" w:cs="Calibri"/>
        </w:rPr>
        <w:t xml:space="preserve">        </w:t>
      </w:r>
      <w:r w:rsidRPr="00DD527E">
        <w:rPr>
          <w:rFonts w:ascii="Calibri" w:hAnsi="Calibri" w:cs="Calibri"/>
        </w:rPr>
        <w:t xml:space="preserve">closed on 10 June 2025, and the government plans to introduce the draft bill in the </w:t>
      </w:r>
    </w:p>
    <w:p w14:paraId="005066F0" w14:textId="77777777" w:rsidR="00234676" w:rsidRDefault="00DD527E" w:rsidP="00234676">
      <w:pPr>
        <w:spacing w:after="0"/>
        <w:ind w:left="0"/>
        <w:jc w:val="both"/>
        <w:rPr>
          <w:rFonts w:ascii="Calibri" w:hAnsi="Calibri" w:cs="Calibri"/>
        </w:rPr>
      </w:pPr>
      <w:r>
        <w:rPr>
          <w:rFonts w:ascii="Calibri" w:hAnsi="Calibri" w:cs="Calibri"/>
        </w:rPr>
        <w:t xml:space="preserve">        </w:t>
      </w:r>
      <w:r w:rsidRPr="00DD527E">
        <w:rPr>
          <w:rFonts w:ascii="Calibri" w:hAnsi="Calibri" w:cs="Calibri"/>
        </w:rPr>
        <w:t>current parliamentary sessio</w:t>
      </w:r>
      <w:r>
        <w:rPr>
          <w:rFonts w:ascii="Calibri" w:hAnsi="Calibri" w:cs="Calibri"/>
        </w:rPr>
        <w:t>n.</w:t>
      </w:r>
    </w:p>
    <w:p w14:paraId="4C814382" w14:textId="77777777" w:rsidR="00234676" w:rsidRDefault="00234676" w:rsidP="00234676">
      <w:pPr>
        <w:spacing w:after="0"/>
        <w:ind w:left="0"/>
        <w:jc w:val="both"/>
        <w:rPr>
          <w:rFonts w:ascii="Calibri" w:hAnsi="Calibri" w:cs="Calibri"/>
        </w:rPr>
      </w:pPr>
    </w:p>
    <w:p w14:paraId="69A65FCA" w14:textId="075EC003" w:rsidR="002049F0" w:rsidRDefault="00234676" w:rsidP="00234676">
      <w:pPr>
        <w:spacing w:after="0"/>
        <w:ind w:left="-113"/>
        <w:jc w:val="both"/>
        <w:rPr>
          <w:rFonts w:ascii="Calibri" w:hAnsi="Calibri" w:cs="Calibri"/>
        </w:rPr>
      </w:pPr>
      <w:r>
        <w:rPr>
          <w:rFonts w:ascii="Calibri" w:hAnsi="Calibri" w:cs="Calibri"/>
        </w:rPr>
        <w:t xml:space="preserve">6.1   </w:t>
      </w:r>
      <w:r w:rsidR="00EF78C9">
        <w:rPr>
          <w:rFonts w:ascii="Calibri" w:hAnsi="Calibri" w:cs="Calibri"/>
        </w:rPr>
        <w:t xml:space="preserve"> </w:t>
      </w:r>
      <w:r>
        <w:rPr>
          <w:rFonts w:ascii="Calibri" w:hAnsi="Calibri" w:cs="Calibri"/>
        </w:rPr>
        <w:t xml:space="preserve"> As at 31st of March 2025</w:t>
      </w:r>
      <w:r w:rsidR="002049F0">
        <w:rPr>
          <w:rFonts w:ascii="Calibri" w:hAnsi="Calibri" w:cs="Calibri"/>
        </w:rPr>
        <w:t>,</w:t>
      </w:r>
      <w:r>
        <w:rPr>
          <w:rFonts w:ascii="Calibri" w:hAnsi="Calibri" w:cs="Calibri"/>
        </w:rPr>
        <w:t xml:space="preserve"> </w:t>
      </w:r>
      <w:r w:rsidR="002049F0">
        <w:rPr>
          <w:rFonts w:ascii="Calibri" w:hAnsi="Calibri" w:cs="Calibri"/>
        </w:rPr>
        <w:t xml:space="preserve"> 5.9% of </w:t>
      </w:r>
      <w:r w:rsidR="00D17749">
        <w:rPr>
          <w:rFonts w:ascii="Calibri" w:hAnsi="Calibri" w:cs="Calibri"/>
        </w:rPr>
        <w:t>colleagues</w:t>
      </w:r>
      <w:r w:rsidR="002049F0">
        <w:rPr>
          <w:rFonts w:ascii="Calibri" w:hAnsi="Calibri" w:cs="Calibri"/>
        </w:rPr>
        <w:t xml:space="preserve"> disclosed they have</w:t>
      </w:r>
      <w:r w:rsidR="00D17749">
        <w:rPr>
          <w:rFonts w:ascii="Calibri" w:hAnsi="Calibri" w:cs="Calibri"/>
        </w:rPr>
        <w:t xml:space="preserve"> a </w:t>
      </w:r>
      <w:r w:rsidR="002049F0">
        <w:rPr>
          <w:rFonts w:ascii="Calibri" w:hAnsi="Calibri" w:cs="Calibri"/>
        </w:rPr>
        <w:t>long-term</w:t>
      </w:r>
      <w:r w:rsidR="00D17749">
        <w:rPr>
          <w:rFonts w:ascii="Calibri" w:hAnsi="Calibri" w:cs="Calibri"/>
        </w:rPr>
        <w:t xml:space="preserve"> condition </w:t>
      </w:r>
    </w:p>
    <w:p w14:paraId="60505ABC" w14:textId="77777777" w:rsidR="00264A22" w:rsidRDefault="002049F0" w:rsidP="00234676">
      <w:pPr>
        <w:spacing w:after="0"/>
        <w:ind w:left="-113"/>
        <w:jc w:val="both"/>
        <w:rPr>
          <w:rFonts w:ascii="Calibri" w:hAnsi="Calibri" w:cs="Calibri"/>
        </w:rPr>
      </w:pPr>
      <w:r>
        <w:rPr>
          <w:rFonts w:ascii="Calibri" w:hAnsi="Calibri" w:cs="Calibri"/>
        </w:rPr>
        <w:t xml:space="preserve">         </w:t>
      </w:r>
      <w:r w:rsidR="00EF78C9">
        <w:rPr>
          <w:rFonts w:ascii="Calibri" w:hAnsi="Calibri" w:cs="Calibri"/>
        </w:rPr>
        <w:t xml:space="preserve"> </w:t>
      </w:r>
      <w:r w:rsidR="00AA0014">
        <w:rPr>
          <w:rFonts w:ascii="Calibri" w:hAnsi="Calibri" w:cs="Calibri"/>
        </w:rPr>
        <w:t>a</w:t>
      </w:r>
      <w:r w:rsidR="00D17749">
        <w:rPr>
          <w:rFonts w:ascii="Calibri" w:hAnsi="Calibri" w:cs="Calibri"/>
        </w:rPr>
        <w:t>nd</w:t>
      </w:r>
      <w:r w:rsidR="00AA0014">
        <w:rPr>
          <w:rFonts w:ascii="Calibri" w:hAnsi="Calibri" w:cs="Calibri"/>
        </w:rPr>
        <w:t xml:space="preserve"> or</w:t>
      </w:r>
      <w:r w:rsidR="00D17749">
        <w:rPr>
          <w:rFonts w:ascii="Calibri" w:hAnsi="Calibri" w:cs="Calibri"/>
        </w:rPr>
        <w:t xml:space="preserve"> </w:t>
      </w:r>
      <w:r w:rsidR="000E3C40">
        <w:rPr>
          <w:rFonts w:ascii="Calibri" w:hAnsi="Calibri" w:cs="Calibri"/>
        </w:rPr>
        <w:t>disability</w:t>
      </w:r>
      <w:r w:rsidR="00264A22">
        <w:rPr>
          <w:rFonts w:ascii="Calibri" w:hAnsi="Calibri" w:cs="Calibri"/>
        </w:rPr>
        <w:t>.</w:t>
      </w:r>
      <w:r w:rsidR="000E3C40">
        <w:rPr>
          <w:rFonts w:ascii="Calibri" w:hAnsi="Calibri" w:cs="Calibri"/>
        </w:rPr>
        <w:t xml:space="preserve"> 94%</w:t>
      </w:r>
      <w:r w:rsidR="00264A22">
        <w:rPr>
          <w:rFonts w:ascii="Calibri" w:hAnsi="Calibri" w:cs="Calibri"/>
        </w:rPr>
        <w:t>.1</w:t>
      </w:r>
      <w:r w:rsidR="000E3C40">
        <w:rPr>
          <w:rFonts w:ascii="Calibri" w:hAnsi="Calibri" w:cs="Calibri"/>
        </w:rPr>
        <w:t xml:space="preserve"> of colleagues have stated that they do not have a disability or </w:t>
      </w:r>
      <w:r w:rsidR="00264A22">
        <w:rPr>
          <w:rFonts w:ascii="Calibri" w:hAnsi="Calibri" w:cs="Calibri"/>
        </w:rPr>
        <w:t xml:space="preserve"> </w:t>
      </w:r>
    </w:p>
    <w:p w14:paraId="4B71F629" w14:textId="5AE1E112" w:rsidR="00264A22" w:rsidRDefault="00264A22" w:rsidP="00264A22">
      <w:pPr>
        <w:spacing w:after="0"/>
        <w:ind w:left="-113"/>
        <w:jc w:val="both"/>
        <w:rPr>
          <w:rFonts w:ascii="Calibri" w:hAnsi="Calibri" w:cs="Calibri"/>
        </w:rPr>
      </w:pPr>
      <w:r>
        <w:rPr>
          <w:rFonts w:ascii="Calibri" w:hAnsi="Calibri" w:cs="Calibri"/>
        </w:rPr>
        <w:t xml:space="preserve">          long-term</w:t>
      </w:r>
      <w:r w:rsidR="000E3C40">
        <w:rPr>
          <w:rFonts w:ascii="Calibri" w:hAnsi="Calibri" w:cs="Calibri"/>
        </w:rPr>
        <w:t xml:space="preserve"> condition</w:t>
      </w:r>
      <w:r w:rsidR="00EF78C9">
        <w:rPr>
          <w:rFonts w:ascii="Calibri" w:hAnsi="Calibri" w:cs="Calibri"/>
        </w:rPr>
        <w:t>,</w:t>
      </w:r>
      <w:r w:rsidR="000E3C40">
        <w:rPr>
          <w:rFonts w:ascii="Calibri" w:hAnsi="Calibri" w:cs="Calibri"/>
        </w:rPr>
        <w:t xml:space="preserve"> </w:t>
      </w:r>
      <w:r w:rsidR="00EF78C9">
        <w:rPr>
          <w:rFonts w:ascii="Calibri" w:hAnsi="Calibri" w:cs="Calibri"/>
        </w:rPr>
        <w:t>and 18% of</w:t>
      </w:r>
      <w:r>
        <w:rPr>
          <w:rFonts w:ascii="Calibri" w:hAnsi="Calibri" w:cs="Calibri"/>
        </w:rPr>
        <w:t xml:space="preserve"> substantive</w:t>
      </w:r>
      <w:r w:rsidR="00EF78C9">
        <w:rPr>
          <w:rFonts w:ascii="Calibri" w:hAnsi="Calibri" w:cs="Calibri"/>
        </w:rPr>
        <w:t xml:space="preserve"> colleagues have not shared their status or </w:t>
      </w:r>
    </w:p>
    <w:p w14:paraId="1D0E57E1" w14:textId="77777777" w:rsidR="00264A22" w:rsidRDefault="00264A22" w:rsidP="00264A22">
      <w:pPr>
        <w:spacing w:after="0"/>
        <w:ind w:left="-113"/>
        <w:jc w:val="both"/>
        <w:rPr>
          <w:rFonts w:ascii="Calibri" w:hAnsi="Calibri" w:cs="Calibri"/>
        </w:rPr>
      </w:pPr>
      <w:r>
        <w:rPr>
          <w:rFonts w:ascii="Calibri" w:hAnsi="Calibri" w:cs="Calibri"/>
        </w:rPr>
        <w:t xml:space="preserve">          </w:t>
      </w:r>
      <w:r w:rsidR="00EF78C9">
        <w:rPr>
          <w:rFonts w:ascii="Calibri" w:hAnsi="Calibri" w:cs="Calibri"/>
        </w:rPr>
        <w:t>recorded any information on ESR.</w:t>
      </w:r>
      <w:r w:rsidR="009B2AD1">
        <w:rPr>
          <w:rFonts w:ascii="Calibri" w:hAnsi="Calibri" w:cs="Calibri"/>
        </w:rPr>
        <w:t xml:space="preserve"> Figure 6.1.1 shows the breakdown of staff within </w:t>
      </w:r>
    </w:p>
    <w:p w14:paraId="0F6FB9F2" w14:textId="77777777" w:rsidR="00F9112A" w:rsidRPr="00F9112A" w:rsidRDefault="00264A22" w:rsidP="00F9112A">
      <w:pPr>
        <w:spacing w:after="0"/>
        <w:ind w:left="-113"/>
        <w:jc w:val="both"/>
        <w:rPr>
          <w:rFonts w:ascii="Calibri" w:hAnsi="Calibri" w:cs="Calibri"/>
        </w:rPr>
      </w:pPr>
      <w:r>
        <w:rPr>
          <w:rFonts w:ascii="Calibri" w:hAnsi="Calibri" w:cs="Calibri"/>
        </w:rPr>
        <w:t xml:space="preserve">          </w:t>
      </w:r>
      <w:r w:rsidR="009B2AD1" w:rsidRPr="00F9112A">
        <w:rPr>
          <w:rFonts w:ascii="Calibri" w:hAnsi="Calibri" w:cs="Calibri"/>
        </w:rPr>
        <w:t>Sandwell and West  Birmingham</w:t>
      </w:r>
      <w:r w:rsidRPr="00F9112A">
        <w:rPr>
          <w:rFonts w:ascii="Calibri" w:hAnsi="Calibri" w:cs="Calibri"/>
        </w:rPr>
        <w:t xml:space="preserve">. </w:t>
      </w:r>
      <w:r w:rsidR="00F9112A" w:rsidRPr="00F9112A">
        <w:rPr>
          <w:rFonts w:ascii="Calibri" w:hAnsi="Calibri" w:cs="Calibri"/>
        </w:rPr>
        <w:t xml:space="preserve">It is important to note that 28% of colleagues at the </w:t>
      </w:r>
    </w:p>
    <w:p w14:paraId="05D3EE27" w14:textId="7312934F" w:rsidR="00F9112A" w:rsidRPr="00F9112A" w:rsidRDefault="00F9112A" w:rsidP="00F9112A">
      <w:pPr>
        <w:spacing w:after="0"/>
        <w:ind w:left="-113"/>
        <w:jc w:val="both"/>
        <w:rPr>
          <w:rFonts w:ascii="Calibri" w:hAnsi="Calibri" w:cs="Calibri"/>
        </w:rPr>
      </w:pPr>
      <w:r w:rsidRPr="00F9112A">
        <w:rPr>
          <w:rFonts w:ascii="Calibri" w:hAnsi="Calibri" w:cs="Calibri"/>
        </w:rPr>
        <w:t xml:space="preserve">          Trust </w:t>
      </w:r>
      <w:r w:rsidR="002211FA">
        <w:rPr>
          <w:rFonts w:ascii="Calibri" w:hAnsi="Calibri" w:cs="Calibri"/>
        </w:rPr>
        <w:t>has</w:t>
      </w:r>
      <w:r w:rsidRPr="00F9112A">
        <w:rPr>
          <w:rFonts w:ascii="Calibri" w:hAnsi="Calibri" w:cs="Calibri"/>
        </w:rPr>
        <w:t xml:space="preserve"> answered preferred not to say when responding to the disability question on   </w:t>
      </w:r>
    </w:p>
    <w:p w14:paraId="1E6C1E7E" w14:textId="3D0C5B29" w:rsidR="00EF78C9" w:rsidRPr="00F9112A" w:rsidRDefault="00F9112A" w:rsidP="00F9112A">
      <w:pPr>
        <w:spacing w:after="0"/>
        <w:ind w:left="-113"/>
        <w:jc w:val="both"/>
        <w:rPr>
          <w:rFonts w:ascii="Calibri" w:hAnsi="Calibri" w:cs="Calibri"/>
        </w:rPr>
      </w:pPr>
      <w:r w:rsidRPr="00F9112A">
        <w:rPr>
          <w:rFonts w:ascii="Calibri" w:hAnsi="Calibri" w:cs="Calibri"/>
        </w:rPr>
        <w:t xml:space="preserve">          ESR.</w:t>
      </w:r>
    </w:p>
    <w:p w14:paraId="1A875B71" w14:textId="0A9AED82" w:rsidR="00EF78C9" w:rsidRDefault="00264A22" w:rsidP="00234676">
      <w:pPr>
        <w:spacing w:after="0"/>
        <w:ind w:left="-113"/>
        <w:jc w:val="both"/>
        <w:rPr>
          <w:rFonts w:ascii="Calibri" w:hAnsi="Calibri" w:cs="Calibri"/>
        </w:rPr>
      </w:pPr>
      <w:r>
        <w:rPr>
          <w:rFonts w:ascii="Calibri" w:hAnsi="Calibri" w:cs="Calibri"/>
        </w:rPr>
        <w:t xml:space="preserve">         </w:t>
      </w:r>
    </w:p>
    <w:p w14:paraId="2E01F4A5" w14:textId="0CDDF249" w:rsidR="00264A22" w:rsidRPr="00264A22" w:rsidRDefault="00264A22" w:rsidP="00264A22">
      <w:pPr>
        <w:spacing w:after="0"/>
        <w:ind w:left="0"/>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Pr="00264A22">
        <w:rPr>
          <w:rFonts w:ascii="Times New Roman" w:eastAsia="Times New Roman" w:hAnsi="Times New Roman" w:cs="Times New Roman"/>
          <w:noProof/>
          <w:kern w:val="0"/>
          <w:lang w:eastAsia="en-GB"/>
          <w14:ligatures w14:val="none"/>
        </w:rPr>
        <w:drawing>
          <wp:inline distT="0" distB="0" distL="0" distR="0" wp14:anchorId="1C1336CF" wp14:editId="3FB7E018">
            <wp:extent cx="3806190" cy="1988185"/>
            <wp:effectExtent l="0" t="0" r="3810" b="0"/>
            <wp:docPr id="2" name="Picture 1" descr="A blue and orange circle with text showing the percentage of staff with a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orange circle with text showing the percentage of staff with a disabilit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6190" cy="1988185"/>
                    </a:xfrm>
                    <a:prstGeom prst="rect">
                      <a:avLst/>
                    </a:prstGeom>
                    <a:noFill/>
                    <a:ln>
                      <a:noFill/>
                    </a:ln>
                  </pic:spPr>
                </pic:pic>
              </a:graphicData>
            </a:graphic>
          </wp:inline>
        </w:drawing>
      </w:r>
    </w:p>
    <w:p w14:paraId="5A1B068B" w14:textId="26846062" w:rsidR="00264A22" w:rsidRDefault="00264A22" w:rsidP="00264A22">
      <w:pPr>
        <w:spacing w:after="0"/>
        <w:ind w:left="-113"/>
        <w:jc w:val="both"/>
        <w:rPr>
          <w:rFonts w:ascii="Calibri" w:hAnsi="Calibri" w:cs="Calibri"/>
        </w:rPr>
      </w:pPr>
      <w:r>
        <w:rPr>
          <w:rFonts w:ascii="Calibri" w:hAnsi="Calibri" w:cs="Calibri"/>
        </w:rPr>
        <w:t xml:space="preserve">   </w:t>
      </w:r>
    </w:p>
    <w:p w14:paraId="7A8CDEEB" w14:textId="453A4BB8" w:rsidR="006B2215" w:rsidRDefault="00EF78C9" w:rsidP="00234676">
      <w:pPr>
        <w:spacing w:after="0"/>
        <w:ind w:left="-113"/>
        <w:jc w:val="both"/>
        <w:rPr>
          <w:rFonts w:ascii="Calibri" w:hAnsi="Calibri" w:cs="Calibri"/>
        </w:rPr>
      </w:pPr>
      <w:r>
        <w:rPr>
          <w:rFonts w:ascii="Calibri" w:hAnsi="Calibri" w:cs="Calibri"/>
        </w:rPr>
        <w:t xml:space="preserve">6.2    </w:t>
      </w:r>
      <w:r w:rsidR="00264A22">
        <w:rPr>
          <w:rFonts w:ascii="Calibri" w:hAnsi="Calibri" w:cs="Calibri"/>
        </w:rPr>
        <w:t xml:space="preserve">The mean disability pay gap shows that there is a mean disability pay gap of £2.26  in </w:t>
      </w:r>
    </w:p>
    <w:p w14:paraId="57B38C1E" w14:textId="340D44C3" w:rsidR="006B2215" w:rsidRDefault="006B2215" w:rsidP="00234676">
      <w:pPr>
        <w:spacing w:after="0"/>
        <w:ind w:left="-113"/>
        <w:jc w:val="both"/>
        <w:rPr>
          <w:rFonts w:ascii="Calibri" w:hAnsi="Calibri" w:cs="Calibri"/>
        </w:rPr>
      </w:pPr>
      <w:r>
        <w:rPr>
          <w:rFonts w:ascii="Calibri" w:hAnsi="Calibri" w:cs="Calibri"/>
        </w:rPr>
        <w:t xml:space="preserve">         </w:t>
      </w:r>
      <w:r w:rsidR="00B602A5">
        <w:rPr>
          <w:rFonts w:ascii="Calibri" w:hAnsi="Calibri" w:cs="Calibri"/>
        </w:rPr>
        <w:t xml:space="preserve"> </w:t>
      </w:r>
      <w:r w:rsidR="00264A22">
        <w:rPr>
          <w:rFonts w:ascii="Calibri" w:hAnsi="Calibri" w:cs="Calibri"/>
        </w:rPr>
        <w:t xml:space="preserve">favour of </w:t>
      </w:r>
      <w:r>
        <w:rPr>
          <w:rFonts w:ascii="Calibri" w:hAnsi="Calibri" w:cs="Calibri"/>
        </w:rPr>
        <w:t xml:space="preserve">non-disabled colleagues, with an overall pay gap of 10.21%. Since the previous  </w:t>
      </w:r>
    </w:p>
    <w:p w14:paraId="194A9046" w14:textId="7C13B345" w:rsidR="006B2215" w:rsidRDefault="006B2215" w:rsidP="00234676">
      <w:pPr>
        <w:spacing w:after="0"/>
        <w:ind w:left="-113"/>
        <w:jc w:val="both"/>
        <w:rPr>
          <w:rFonts w:ascii="Calibri" w:hAnsi="Calibri" w:cs="Calibri"/>
        </w:rPr>
      </w:pPr>
      <w:r>
        <w:rPr>
          <w:rFonts w:ascii="Calibri" w:hAnsi="Calibri" w:cs="Calibri"/>
        </w:rPr>
        <w:t xml:space="preserve">         </w:t>
      </w:r>
      <w:r w:rsidR="00B602A5">
        <w:rPr>
          <w:rFonts w:ascii="Calibri" w:hAnsi="Calibri" w:cs="Calibri"/>
        </w:rPr>
        <w:t xml:space="preserve"> </w:t>
      </w:r>
      <w:r>
        <w:rPr>
          <w:rFonts w:ascii="Calibri" w:hAnsi="Calibri" w:cs="Calibri"/>
        </w:rPr>
        <w:t xml:space="preserve">year, this has improved slightly from 10.21 in the 23/24 reporting year to 10.62 in the </w:t>
      </w:r>
    </w:p>
    <w:p w14:paraId="002B09A2" w14:textId="1AD15461" w:rsidR="006B2215" w:rsidRDefault="006B2215" w:rsidP="006B2215">
      <w:pPr>
        <w:spacing w:after="0"/>
        <w:ind w:left="-113"/>
        <w:jc w:val="both"/>
        <w:rPr>
          <w:rFonts w:ascii="Calibri" w:hAnsi="Calibri" w:cs="Calibri"/>
        </w:rPr>
      </w:pPr>
      <w:r>
        <w:rPr>
          <w:rFonts w:ascii="Calibri" w:hAnsi="Calibri" w:cs="Calibri"/>
        </w:rPr>
        <w:t xml:space="preserve">         </w:t>
      </w:r>
      <w:r w:rsidR="00B602A5">
        <w:rPr>
          <w:rFonts w:ascii="Calibri" w:hAnsi="Calibri" w:cs="Calibri"/>
        </w:rPr>
        <w:t xml:space="preserve"> </w:t>
      </w:r>
      <w:r>
        <w:rPr>
          <w:rFonts w:ascii="Calibri" w:hAnsi="Calibri" w:cs="Calibri"/>
        </w:rPr>
        <w:t xml:space="preserve">24/25 reporting year. Figure 6.2.2 illustrates trend data for disability pay gap analyses </w:t>
      </w:r>
    </w:p>
    <w:p w14:paraId="5900FEF7" w14:textId="6B9EDFE2" w:rsidR="004E7D6C" w:rsidRDefault="006B2215" w:rsidP="006B2215">
      <w:pPr>
        <w:spacing w:after="0"/>
        <w:ind w:left="-113"/>
        <w:jc w:val="both"/>
        <w:rPr>
          <w:rFonts w:ascii="Calibri" w:hAnsi="Calibri" w:cs="Calibri"/>
        </w:rPr>
      </w:pPr>
      <w:r>
        <w:rPr>
          <w:rFonts w:ascii="Calibri" w:hAnsi="Calibri" w:cs="Calibri"/>
        </w:rPr>
        <w:t xml:space="preserve">          since 2022.</w:t>
      </w:r>
      <w:r w:rsidR="006F07AD">
        <w:rPr>
          <w:rFonts w:ascii="Calibri" w:hAnsi="Calibri" w:cs="Calibri"/>
        </w:rPr>
        <w:t xml:space="preserve"> </w:t>
      </w:r>
    </w:p>
    <w:p w14:paraId="1C0BE5EF" w14:textId="77777777" w:rsidR="006F07AD" w:rsidRDefault="006F07AD" w:rsidP="006B2215">
      <w:pPr>
        <w:spacing w:after="0"/>
        <w:ind w:left="-113"/>
        <w:jc w:val="both"/>
        <w:rPr>
          <w:rFonts w:ascii="Calibri" w:hAnsi="Calibri" w:cs="Calibri"/>
        </w:rPr>
      </w:pPr>
      <w:r>
        <w:rPr>
          <w:rFonts w:ascii="Calibri" w:hAnsi="Calibri" w:cs="Calibri"/>
        </w:rPr>
        <w:t xml:space="preserve">          </w:t>
      </w:r>
    </w:p>
    <w:p w14:paraId="1ED5CDE2" w14:textId="10CF9554" w:rsidR="006B2215" w:rsidRDefault="006F07AD" w:rsidP="006F07AD">
      <w:pPr>
        <w:spacing w:after="0"/>
        <w:ind w:left="-113"/>
        <w:jc w:val="both"/>
        <w:rPr>
          <w:rFonts w:ascii="Calibri" w:hAnsi="Calibri" w:cs="Calibri"/>
        </w:rPr>
      </w:pPr>
      <w:r>
        <w:rPr>
          <w:rFonts w:ascii="Calibri" w:hAnsi="Calibri" w:cs="Calibri"/>
        </w:rPr>
        <w:t xml:space="preserve">           Figure 6.2.2</w:t>
      </w:r>
      <w:r w:rsidR="00955577">
        <w:rPr>
          <w:rFonts w:ascii="Calibri" w:hAnsi="Calibri" w:cs="Calibri"/>
        </w:rPr>
        <w:t xml:space="preserve"> mean pay gap</w:t>
      </w:r>
    </w:p>
    <w:tbl>
      <w:tblPr>
        <w:tblW w:w="6212" w:type="dxa"/>
        <w:tblInd w:w="426" w:type="dxa"/>
        <w:tblCellMar>
          <w:top w:w="15" w:type="dxa"/>
          <w:bottom w:w="15" w:type="dxa"/>
        </w:tblCellMar>
        <w:tblLook w:val="04A0" w:firstRow="1" w:lastRow="0" w:firstColumn="1" w:lastColumn="0" w:noHBand="0" w:noVBand="1"/>
      </w:tblPr>
      <w:tblGrid>
        <w:gridCol w:w="1095"/>
        <w:gridCol w:w="1680"/>
        <w:gridCol w:w="1220"/>
        <w:gridCol w:w="1177"/>
        <w:gridCol w:w="1040"/>
      </w:tblGrid>
      <w:tr w:rsidR="006F07AD" w:rsidRPr="006F07AD" w14:paraId="59D374AF" w14:textId="77777777" w:rsidTr="00955577">
        <w:trPr>
          <w:trHeight w:val="285"/>
        </w:trPr>
        <w:tc>
          <w:tcPr>
            <w:tcW w:w="1095" w:type="dxa"/>
            <w:tcBorders>
              <w:top w:val="nil"/>
              <w:left w:val="nil"/>
              <w:bottom w:val="nil"/>
              <w:right w:val="nil"/>
            </w:tcBorders>
            <w:noWrap/>
            <w:vAlign w:val="bottom"/>
            <w:hideMark/>
          </w:tcPr>
          <w:p w14:paraId="5876F542" w14:textId="65D94E9B" w:rsidR="006F07AD" w:rsidRPr="006F07AD" w:rsidRDefault="006F07AD" w:rsidP="006F07AD">
            <w:pPr>
              <w:spacing w:after="0"/>
              <w:ind w:left="0"/>
              <w:rPr>
                <w:rFonts w:ascii="Aptos Narrow" w:eastAsia="Times New Roman" w:hAnsi="Aptos Narrow" w:cs="Times New Roman"/>
                <w:color w:val="000000"/>
                <w:kern w:val="0"/>
                <w:sz w:val="22"/>
                <w:szCs w:val="22"/>
                <w:lang w:eastAsia="en-GB"/>
                <w14:ligatures w14:val="none"/>
              </w:rPr>
            </w:pPr>
          </w:p>
        </w:tc>
        <w:tc>
          <w:tcPr>
            <w:tcW w:w="1680" w:type="dxa"/>
            <w:tcBorders>
              <w:top w:val="nil"/>
              <w:left w:val="nil"/>
              <w:bottom w:val="nil"/>
              <w:right w:val="nil"/>
            </w:tcBorders>
            <w:noWrap/>
            <w:vAlign w:val="bottom"/>
            <w:hideMark/>
          </w:tcPr>
          <w:p w14:paraId="66ABD5D1" w14:textId="77777777" w:rsidR="006F07AD" w:rsidRPr="006F07AD" w:rsidRDefault="006F07AD" w:rsidP="006F07AD">
            <w:pPr>
              <w:spacing w:after="0"/>
              <w:ind w:left="0"/>
              <w:rPr>
                <w:rFonts w:ascii="Aptos Narrow" w:eastAsia="Times New Roman" w:hAnsi="Aptos Narrow" w:cs="Times New Roman"/>
                <w:color w:val="000000"/>
                <w:kern w:val="0"/>
                <w:sz w:val="22"/>
                <w:szCs w:val="22"/>
                <w:lang w:eastAsia="en-GB"/>
                <w14:ligatures w14:val="none"/>
              </w:rPr>
            </w:pPr>
          </w:p>
        </w:tc>
        <w:tc>
          <w:tcPr>
            <w:tcW w:w="1220" w:type="dxa"/>
            <w:tcBorders>
              <w:top w:val="nil"/>
              <w:left w:val="nil"/>
              <w:bottom w:val="nil"/>
              <w:right w:val="nil"/>
            </w:tcBorders>
            <w:noWrap/>
            <w:vAlign w:val="bottom"/>
            <w:hideMark/>
          </w:tcPr>
          <w:p w14:paraId="6936A1E4" w14:textId="77777777" w:rsidR="006F07AD" w:rsidRPr="006F07AD" w:rsidRDefault="006F07AD" w:rsidP="006F07AD">
            <w:pPr>
              <w:spacing w:after="0"/>
              <w:ind w:left="0"/>
              <w:rPr>
                <w:rFonts w:ascii="Times New Roman" w:eastAsia="Times New Roman" w:hAnsi="Times New Roman" w:cs="Times New Roman"/>
                <w:kern w:val="0"/>
                <w:sz w:val="20"/>
                <w:szCs w:val="20"/>
                <w:lang w:eastAsia="en-GB"/>
                <w14:ligatures w14:val="none"/>
              </w:rPr>
            </w:pPr>
          </w:p>
        </w:tc>
        <w:tc>
          <w:tcPr>
            <w:tcW w:w="1177" w:type="dxa"/>
            <w:tcBorders>
              <w:top w:val="nil"/>
              <w:left w:val="nil"/>
              <w:bottom w:val="nil"/>
              <w:right w:val="nil"/>
            </w:tcBorders>
            <w:noWrap/>
            <w:vAlign w:val="bottom"/>
            <w:hideMark/>
          </w:tcPr>
          <w:p w14:paraId="6FEDA867" w14:textId="77777777" w:rsidR="006F07AD" w:rsidRPr="006F07AD" w:rsidRDefault="006F07AD" w:rsidP="006F07AD">
            <w:pPr>
              <w:spacing w:after="0"/>
              <w:ind w:left="0"/>
              <w:rPr>
                <w:rFonts w:ascii="Times New Roman" w:eastAsia="Times New Roman" w:hAnsi="Times New Roman" w:cs="Times New Roman"/>
                <w:kern w:val="0"/>
                <w:sz w:val="20"/>
                <w:szCs w:val="20"/>
                <w:lang w:eastAsia="en-GB"/>
                <w14:ligatures w14:val="none"/>
              </w:rPr>
            </w:pPr>
          </w:p>
        </w:tc>
        <w:tc>
          <w:tcPr>
            <w:tcW w:w="1040" w:type="dxa"/>
            <w:tcBorders>
              <w:top w:val="nil"/>
              <w:left w:val="nil"/>
              <w:bottom w:val="nil"/>
              <w:right w:val="nil"/>
            </w:tcBorders>
            <w:noWrap/>
            <w:vAlign w:val="bottom"/>
            <w:hideMark/>
          </w:tcPr>
          <w:p w14:paraId="0B626BEF" w14:textId="77777777" w:rsidR="006F07AD" w:rsidRPr="006F07AD" w:rsidRDefault="006F07AD" w:rsidP="006F07AD">
            <w:pPr>
              <w:spacing w:after="0"/>
              <w:ind w:left="0"/>
              <w:rPr>
                <w:rFonts w:ascii="Times New Roman" w:eastAsia="Times New Roman" w:hAnsi="Times New Roman" w:cs="Times New Roman"/>
                <w:kern w:val="0"/>
                <w:sz w:val="20"/>
                <w:szCs w:val="20"/>
                <w:lang w:eastAsia="en-GB"/>
                <w14:ligatures w14:val="none"/>
              </w:rPr>
            </w:pPr>
          </w:p>
        </w:tc>
      </w:tr>
      <w:tr w:rsidR="006F07AD" w:rsidRPr="006F07AD" w14:paraId="2FF56E9A" w14:textId="77777777" w:rsidTr="00955577">
        <w:trPr>
          <w:trHeight w:val="285"/>
        </w:trPr>
        <w:tc>
          <w:tcPr>
            <w:tcW w:w="1095"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203034A5" w14:textId="77777777" w:rsidR="006F07AD" w:rsidRPr="006F07AD" w:rsidRDefault="006F07AD" w:rsidP="006F07AD">
            <w:pPr>
              <w:spacing w:after="0"/>
              <w:ind w:left="0"/>
              <w:rPr>
                <w:rFonts w:ascii="Aptos Narrow" w:eastAsia="Times New Roman" w:hAnsi="Aptos Narrow" w:cs="Times New Roman"/>
                <w:b/>
                <w:bCs/>
                <w:color w:val="FFFFFF"/>
                <w:kern w:val="0"/>
                <w:sz w:val="22"/>
                <w:szCs w:val="22"/>
                <w:lang w:eastAsia="en-GB"/>
                <w14:ligatures w14:val="none"/>
              </w:rPr>
            </w:pPr>
            <w:r w:rsidRPr="006F07AD">
              <w:rPr>
                <w:rFonts w:ascii="Aptos Narrow" w:eastAsia="Times New Roman" w:hAnsi="Aptos Narrow" w:cs="Times New Roman"/>
                <w:b/>
                <w:bCs/>
                <w:color w:val="FFFFFF"/>
                <w:kern w:val="0"/>
                <w:sz w:val="22"/>
                <w:szCs w:val="22"/>
                <w:lang w:eastAsia="en-GB"/>
                <w14:ligatures w14:val="none"/>
              </w:rPr>
              <w:t>Year</w:t>
            </w:r>
          </w:p>
        </w:tc>
        <w:tc>
          <w:tcPr>
            <w:tcW w:w="1680"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746053F6" w14:textId="77777777" w:rsidR="006F07AD" w:rsidRPr="006F07AD" w:rsidRDefault="006F07AD" w:rsidP="006F07AD">
            <w:pPr>
              <w:spacing w:after="0"/>
              <w:ind w:left="0"/>
              <w:rPr>
                <w:rFonts w:ascii="Aptos Narrow" w:eastAsia="Times New Roman" w:hAnsi="Aptos Narrow" w:cs="Times New Roman"/>
                <w:b/>
                <w:bCs/>
                <w:color w:val="FFFFFF"/>
                <w:kern w:val="0"/>
                <w:sz w:val="22"/>
                <w:szCs w:val="22"/>
                <w:lang w:eastAsia="en-GB"/>
                <w14:ligatures w14:val="none"/>
              </w:rPr>
            </w:pPr>
            <w:r w:rsidRPr="006F07AD">
              <w:rPr>
                <w:rFonts w:ascii="Aptos Narrow" w:eastAsia="Times New Roman" w:hAnsi="Aptos Narrow" w:cs="Times New Roman"/>
                <w:b/>
                <w:bCs/>
                <w:color w:val="FFFFFF"/>
                <w:kern w:val="0"/>
                <w:sz w:val="22"/>
                <w:szCs w:val="22"/>
                <w:lang w:eastAsia="en-GB"/>
                <w14:ligatures w14:val="none"/>
              </w:rPr>
              <w:t>Non-Disabled (£)</w:t>
            </w:r>
          </w:p>
        </w:tc>
        <w:tc>
          <w:tcPr>
            <w:tcW w:w="1220"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2E820326" w14:textId="77777777" w:rsidR="006F07AD" w:rsidRPr="006F07AD" w:rsidRDefault="006F07AD" w:rsidP="006F07AD">
            <w:pPr>
              <w:spacing w:after="0"/>
              <w:ind w:left="0"/>
              <w:rPr>
                <w:rFonts w:ascii="Aptos Narrow" w:eastAsia="Times New Roman" w:hAnsi="Aptos Narrow" w:cs="Times New Roman"/>
                <w:b/>
                <w:bCs/>
                <w:color w:val="FFFFFF"/>
                <w:kern w:val="0"/>
                <w:sz w:val="22"/>
                <w:szCs w:val="22"/>
                <w:lang w:eastAsia="en-GB"/>
                <w14:ligatures w14:val="none"/>
              </w:rPr>
            </w:pPr>
            <w:r w:rsidRPr="006F07AD">
              <w:rPr>
                <w:rFonts w:ascii="Aptos Narrow" w:eastAsia="Times New Roman" w:hAnsi="Aptos Narrow" w:cs="Times New Roman"/>
                <w:b/>
                <w:bCs/>
                <w:color w:val="FFFFFF"/>
                <w:kern w:val="0"/>
                <w:sz w:val="22"/>
                <w:szCs w:val="22"/>
                <w:lang w:eastAsia="en-GB"/>
                <w14:ligatures w14:val="none"/>
              </w:rPr>
              <w:t>Disabled (£)</w:t>
            </w:r>
          </w:p>
        </w:tc>
        <w:tc>
          <w:tcPr>
            <w:tcW w:w="1177"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4CBF892B" w14:textId="77777777" w:rsidR="006F07AD" w:rsidRPr="006F07AD" w:rsidRDefault="006F07AD" w:rsidP="006F07AD">
            <w:pPr>
              <w:spacing w:after="0"/>
              <w:ind w:left="0"/>
              <w:rPr>
                <w:rFonts w:ascii="Aptos Narrow" w:eastAsia="Times New Roman" w:hAnsi="Aptos Narrow" w:cs="Times New Roman"/>
                <w:b/>
                <w:bCs/>
                <w:color w:val="FFFFFF"/>
                <w:kern w:val="0"/>
                <w:sz w:val="22"/>
                <w:szCs w:val="22"/>
                <w:lang w:eastAsia="en-GB"/>
                <w14:ligatures w14:val="none"/>
              </w:rPr>
            </w:pPr>
            <w:r w:rsidRPr="006F07AD">
              <w:rPr>
                <w:rFonts w:ascii="Aptos Narrow" w:eastAsia="Times New Roman" w:hAnsi="Aptos Narrow" w:cs="Times New Roman"/>
                <w:b/>
                <w:bCs/>
                <w:color w:val="FFFFFF"/>
                <w:kern w:val="0"/>
                <w:sz w:val="22"/>
                <w:szCs w:val="22"/>
                <w:lang w:eastAsia="en-GB"/>
                <w14:ligatures w14:val="none"/>
              </w:rPr>
              <w:t>Difference</w:t>
            </w:r>
          </w:p>
        </w:tc>
        <w:tc>
          <w:tcPr>
            <w:tcW w:w="1040"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6AFE1195" w14:textId="77777777" w:rsidR="006F07AD" w:rsidRPr="006F07AD" w:rsidRDefault="006F07AD" w:rsidP="006F07AD">
            <w:pPr>
              <w:spacing w:after="0"/>
              <w:ind w:left="0"/>
              <w:rPr>
                <w:rFonts w:ascii="Aptos Narrow" w:eastAsia="Times New Roman" w:hAnsi="Aptos Narrow" w:cs="Times New Roman"/>
                <w:b/>
                <w:bCs/>
                <w:color w:val="FFFFFF"/>
                <w:kern w:val="0"/>
                <w:sz w:val="22"/>
                <w:szCs w:val="22"/>
                <w:lang w:eastAsia="en-GB"/>
                <w14:ligatures w14:val="none"/>
              </w:rPr>
            </w:pPr>
            <w:r w:rsidRPr="006F07AD">
              <w:rPr>
                <w:rFonts w:ascii="Aptos Narrow" w:eastAsia="Times New Roman" w:hAnsi="Aptos Narrow" w:cs="Times New Roman"/>
                <w:b/>
                <w:bCs/>
                <w:color w:val="FFFFFF"/>
                <w:kern w:val="0"/>
                <w:sz w:val="22"/>
                <w:szCs w:val="22"/>
                <w:lang w:eastAsia="en-GB"/>
                <w14:ligatures w14:val="none"/>
              </w:rPr>
              <w:t>Pay Gap %</w:t>
            </w:r>
          </w:p>
        </w:tc>
      </w:tr>
      <w:tr w:rsidR="006F07AD" w:rsidRPr="006F07AD" w14:paraId="572D55D6" w14:textId="77777777" w:rsidTr="00955577">
        <w:trPr>
          <w:trHeight w:val="285"/>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75A0CBF4" w14:textId="77777777" w:rsidR="006F07AD" w:rsidRPr="006F07AD" w:rsidRDefault="006F07AD" w:rsidP="006F07AD">
            <w:pPr>
              <w:spacing w:after="0"/>
              <w:ind w:left="0"/>
              <w:rPr>
                <w:rFonts w:ascii="Aptos Narrow" w:eastAsia="Times New Roman" w:hAnsi="Aptos Narrow" w:cs="Times New Roman"/>
                <w:color w:val="000000"/>
                <w:kern w:val="0"/>
                <w:sz w:val="22"/>
                <w:szCs w:val="22"/>
                <w:lang w:eastAsia="en-GB"/>
                <w14:ligatures w14:val="none"/>
              </w:rPr>
            </w:pPr>
            <w:r w:rsidRPr="006F07AD">
              <w:rPr>
                <w:rFonts w:ascii="Aptos Narrow" w:eastAsia="Times New Roman" w:hAnsi="Aptos Narrow" w:cs="Times New Roman"/>
                <w:color w:val="000000"/>
                <w:kern w:val="0"/>
                <w:sz w:val="22"/>
                <w:szCs w:val="22"/>
                <w:lang w:eastAsia="en-GB"/>
                <w14:ligatures w14:val="none"/>
              </w:rPr>
              <w:t>2022/23</w:t>
            </w:r>
          </w:p>
        </w:tc>
        <w:tc>
          <w:tcPr>
            <w:tcW w:w="1680" w:type="dxa"/>
            <w:tcBorders>
              <w:top w:val="single" w:sz="4" w:space="0" w:color="auto"/>
              <w:left w:val="single" w:sz="4" w:space="0" w:color="auto"/>
              <w:bottom w:val="single" w:sz="4" w:space="0" w:color="auto"/>
              <w:right w:val="single" w:sz="4" w:space="0" w:color="auto"/>
            </w:tcBorders>
            <w:noWrap/>
            <w:vAlign w:val="bottom"/>
            <w:hideMark/>
          </w:tcPr>
          <w:p w14:paraId="34BD50D1" w14:textId="77777777" w:rsidR="006F07AD" w:rsidRPr="006F07AD" w:rsidRDefault="006F07AD" w:rsidP="006F07AD">
            <w:pPr>
              <w:spacing w:after="0"/>
              <w:ind w:left="0"/>
              <w:jc w:val="right"/>
              <w:rPr>
                <w:rFonts w:ascii="Aptos Narrow" w:eastAsia="Times New Roman" w:hAnsi="Aptos Narrow" w:cs="Times New Roman"/>
                <w:color w:val="000000"/>
                <w:kern w:val="0"/>
                <w:sz w:val="22"/>
                <w:szCs w:val="22"/>
                <w:lang w:eastAsia="en-GB"/>
                <w14:ligatures w14:val="none"/>
              </w:rPr>
            </w:pPr>
            <w:r w:rsidRPr="006F07AD">
              <w:rPr>
                <w:rFonts w:ascii="Aptos Narrow" w:eastAsia="Times New Roman" w:hAnsi="Aptos Narrow" w:cs="Times New Roman"/>
                <w:color w:val="000000"/>
                <w:kern w:val="0"/>
                <w:sz w:val="22"/>
                <w:szCs w:val="22"/>
                <w:lang w:eastAsia="en-GB"/>
                <w14:ligatures w14:val="none"/>
              </w:rPr>
              <w:t>19.76</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5DD24175" w14:textId="77777777" w:rsidR="006F07AD" w:rsidRPr="006F07AD" w:rsidRDefault="006F07AD" w:rsidP="006F07AD">
            <w:pPr>
              <w:spacing w:after="0"/>
              <w:ind w:left="0"/>
              <w:jc w:val="right"/>
              <w:rPr>
                <w:rFonts w:ascii="Aptos Narrow" w:eastAsia="Times New Roman" w:hAnsi="Aptos Narrow" w:cs="Times New Roman"/>
                <w:color w:val="000000"/>
                <w:kern w:val="0"/>
                <w:sz w:val="22"/>
                <w:szCs w:val="22"/>
                <w:lang w:eastAsia="en-GB"/>
                <w14:ligatures w14:val="none"/>
              </w:rPr>
            </w:pPr>
            <w:r w:rsidRPr="006F07AD">
              <w:rPr>
                <w:rFonts w:ascii="Aptos Narrow" w:eastAsia="Times New Roman" w:hAnsi="Aptos Narrow" w:cs="Times New Roman"/>
                <w:color w:val="000000"/>
                <w:kern w:val="0"/>
                <w:sz w:val="22"/>
                <w:szCs w:val="22"/>
                <w:lang w:eastAsia="en-GB"/>
                <w14:ligatures w14:val="none"/>
              </w:rPr>
              <w:t>17.32</w:t>
            </w:r>
          </w:p>
        </w:tc>
        <w:tc>
          <w:tcPr>
            <w:tcW w:w="1177" w:type="dxa"/>
            <w:tcBorders>
              <w:top w:val="single" w:sz="4" w:space="0" w:color="auto"/>
              <w:left w:val="single" w:sz="4" w:space="0" w:color="auto"/>
              <w:bottom w:val="single" w:sz="4" w:space="0" w:color="auto"/>
              <w:right w:val="single" w:sz="4" w:space="0" w:color="auto"/>
            </w:tcBorders>
            <w:noWrap/>
            <w:vAlign w:val="bottom"/>
            <w:hideMark/>
          </w:tcPr>
          <w:p w14:paraId="6626160B" w14:textId="77777777" w:rsidR="006F07AD" w:rsidRPr="006F07AD" w:rsidRDefault="006F07AD" w:rsidP="006F07AD">
            <w:pPr>
              <w:spacing w:after="0"/>
              <w:ind w:left="0"/>
              <w:jc w:val="right"/>
              <w:rPr>
                <w:rFonts w:ascii="Aptos Narrow" w:eastAsia="Times New Roman" w:hAnsi="Aptos Narrow" w:cs="Times New Roman"/>
                <w:color w:val="000000"/>
                <w:kern w:val="0"/>
                <w:sz w:val="22"/>
                <w:szCs w:val="22"/>
                <w:lang w:eastAsia="en-GB"/>
                <w14:ligatures w14:val="none"/>
              </w:rPr>
            </w:pPr>
            <w:r w:rsidRPr="006F07AD">
              <w:rPr>
                <w:rFonts w:ascii="Aptos Narrow" w:eastAsia="Times New Roman" w:hAnsi="Aptos Narrow" w:cs="Times New Roman"/>
                <w:color w:val="000000"/>
                <w:kern w:val="0"/>
                <w:sz w:val="22"/>
                <w:szCs w:val="22"/>
                <w:lang w:eastAsia="en-GB"/>
                <w14:ligatures w14:val="none"/>
              </w:rPr>
              <w:t>2.44</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5E289D74" w14:textId="77777777" w:rsidR="006F07AD" w:rsidRPr="006F07AD" w:rsidRDefault="006F07AD" w:rsidP="006F07AD">
            <w:pPr>
              <w:spacing w:after="0"/>
              <w:ind w:left="0"/>
              <w:jc w:val="right"/>
              <w:rPr>
                <w:rFonts w:ascii="Aptos Narrow" w:eastAsia="Times New Roman" w:hAnsi="Aptos Narrow" w:cs="Times New Roman"/>
                <w:color w:val="000000"/>
                <w:kern w:val="0"/>
                <w:sz w:val="22"/>
                <w:szCs w:val="22"/>
                <w:lang w:eastAsia="en-GB"/>
                <w14:ligatures w14:val="none"/>
              </w:rPr>
            </w:pPr>
            <w:r w:rsidRPr="006F07AD">
              <w:rPr>
                <w:rFonts w:ascii="Aptos Narrow" w:eastAsia="Times New Roman" w:hAnsi="Aptos Narrow" w:cs="Times New Roman"/>
                <w:color w:val="000000"/>
                <w:kern w:val="0"/>
                <w:sz w:val="22"/>
                <w:szCs w:val="22"/>
                <w:lang w:eastAsia="en-GB"/>
                <w14:ligatures w14:val="none"/>
              </w:rPr>
              <w:t>12.35</w:t>
            </w:r>
          </w:p>
        </w:tc>
      </w:tr>
      <w:tr w:rsidR="006F07AD" w:rsidRPr="006F07AD" w14:paraId="43939482" w14:textId="77777777" w:rsidTr="00955577">
        <w:trPr>
          <w:trHeight w:val="285"/>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142E5C3" w14:textId="77777777" w:rsidR="006F07AD" w:rsidRPr="006F07AD" w:rsidRDefault="006F07AD" w:rsidP="006F07AD">
            <w:pPr>
              <w:spacing w:after="0"/>
              <w:ind w:left="0"/>
              <w:rPr>
                <w:rFonts w:ascii="Aptos Narrow" w:eastAsia="Times New Roman" w:hAnsi="Aptos Narrow" w:cs="Times New Roman"/>
                <w:color w:val="000000"/>
                <w:kern w:val="0"/>
                <w:sz w:val="22"/>
                <w:szCs w:val="22"/>
                <w:lang w:eastAsia="en-GB"/>
                <w14:ligatures w14:val="none"/>
              </w:rPr>
            </w:pPr>
            <w:r w:rsidRPr="006F07AD">
              <w:rPr>
                <w:rFonts w:ascii="Aptos Narrow" w:eastAsia="Times New Roman" w:hAnsi="Aptos Narrow" w:cs="Times New Roman"/>
                <w:color w:val="000000"/>
                <w:kern w:val="0"/>
                <w:sz w:val="22"/>
                <w:szCs w:val="22"/>
                <w:lang w:eastAsia="en-GB"/>
                <w14:ligatures w14:val="none"/>
              </w:rPr>
              <w:t>2023/24</w:t>
            </w:r>
          </w:p>
        </w:tc>
        <w:tc>
          <w:tcPr>
            <w:tcW w:w="1680" w:type="dxa"/>
            <w:tcBorders>
              <w:top w:val="single" w:sz="4" w:space="0" w:color="auto"/>
              <w:left w:val="single" w:sz="4" w:space="0" w:color="auto"/>
              <w:bottom w:val="single" w:sz="4" w:space="0" w:color="auto"/>
              <w:right w:val="single" w:sz="4" w:space="0" w:color="auto"/>
            </w:tcBorders>
            <w:noWrap/>
            <w:vAlign w:val="bottom"/>
            <w:hideMark/>
          </w:tcPr>
          <w:p w14:paraId="7E751658" w14:textId="77777777" w:rsidR="006F07AD" w:rsidRPr="006F07AD" w:rsidRDefault="006F07AD" w:rsidP="006F07AD">
            <w:pPr>
              <w:spacing w:after="0"/>
              <w:ind w:left="0"/>
              <w:jc w:val="right"/>
              <w:rPr>
                <w:rFonts w:ascii="Aptos Narrow" w:eastAsia="Times New Roman" w:hAnsi="Aptos Narrow" w:cs="Times New Roman"/>
                <w:color w:val="000000"/>
                <w:kern w:val="0"/>
                <w:sz w:val="22"/>
                <w:szCs w:val="22"/>
                <w:lang w:eastAsia="en-GB"/>
                <w14:ligatures w14:val="none"/>
              </w:rPr>
            </w:pPr>
            <w:r w:rsidRPr="006F07AD">
              <w:rPr>
                <w:rFonts w:ascii="Aptos Narrow" w:eastAsia="Times New Roman" w:hAnsi="Aptos Narrow" w:cs="Times New Roman"/>
                <w:color w:val="000000"/>
                <w:kern w:val="0"/>
                <w:sz w:val="22"/>
                <w:szCs w:val="22"/>
                <w:lang w:eastAsia="en-GB"/>
                <w14:ligatures w14:val="none"/>
              </w:rPr>
              <w:t>20.81</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6CE72A20" w14:textId="77777777" w:rsidR="006F07AD" w:rsidRPr="006F07AD" w:rsidRDefault="006F07AD" w:rsidP="006F07AD">
            <w:pPr>
              <w:spacing w:after="0"/>
              <w:ind w:left="0"/>
              <w:jc w:val="right"/>
              <w:rPr>
                <w:rFonts w:ascii="Aptos Narrow" w:eastAsia="Times New Roman" w:hAnsi="Aptos Narrow" w:cs="Times New Roman"/>
                <w:color w:val="000000"/>
                <w:kern w:val="0"/>
                <w:sz w:val="22"/>
                <w:szCs w:val="22"/>
                <w:lang w:eastAsia="en-GB"/>
                <w14:ligatures w14:val="none"/>
              </w:rPr>
            </w:pPr>
            <w:r w:rsidRPr="006F07AD">
              <w:rPr>
                <w:rFonts w:ascii="Aptos Narrow" w:eastAsia="Times New Roman" w:hAnsi="Aptos Narrow" w:cs="Times New Roman"/>
                <w:color w:val="000000"/>
                <w:kern w:val="0"/>
                <w:sz w:val="22"/>
                <w:szCs w:val="22"/>
                <w:lang w:eastAsia="en-GB"/>
                <w14:ligatures w14:val="none"/>
              </w:rPr>
              <w:t>18.6</w:t>
            </w:r>
          </w:p>
        </w:tc>
        <w:tc>
          <w:tcPr>
            <w:tcW w:w="1177" w:type="dxa"/>
            <w:tcBorders>
              <w:top w:val="single" w:sz="4" w:space="0" w:color="auto"/>
              <w:left w:val="single" w:sz="4" w:space="0" w:color="auto"/>
              <w:bottom w:val="single" w:sz="4" w:space="0" w:color="auto"/>
              <w:right w:val="single" w:sz="4" w:space="0" w:color="auto"/>
            </w:tcBorders>
            <w:noWrap/>
            <w:vAlign w:val="bottom"/>
            <w:hideMark/>
          </w:tcPr>
          <w:p w14:paraId="7B47F240" w14:textId="77777777" w:rsidR="006F07AD" w:rsidRPr="006F07AD" w:rsidRDefault="006F07AD" w:rsidP="006F07AD">
            <w:pPr>
              <w:spacing w:after="0"/>
              <w:ind w:left="0"/>
              <w:jc w:val="right"/>
              <w:rPr>
                <w:rFonts w:ascii="Aptos Narrow" w:eastAsia="Times New Roman" w:hAnsi="Aptos Narrow" w:cs="Times New Roman"/>
                <w:color w:val="000000"/>
                <w:kern w:val="0"/>
                <w:sz w:val="22"/>
                <w:szCs w:val="22"/>
                <w:lang w:eastAsia="en-GB"/>
                <w14:ligatures w14:val="none"/>
              </w:rPr>
            </w:pPr>
            <w:r w:rsidRPr="006F07AD">
              <w:rPr>
                <w:rFonts w:ascii="Aptos Narrow" w:eastAsia="Times New Roman" w:hAnsi="Aptos Narrow" w:cs="Times New Roman"/>
                <w:color w:val="000000"/>
                <w:kern w:val="0"/>
                <w:sz w:val="22"/>
                <w:szCs w:val="22"/>
                <w:lang w:eastAsia="en-GB"/>
                <w14:ligatures w14:val="none"/>
              </w:rPr>
              <w:t>2.21</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12257F5C" w14:textId="77777777" w:rsidR="006F07AD" w:rsidRPr="006F07AD" w:rsidRDefault="006F07AD" w:rsidP="006F07AD">
            <w:pPr>
              <w:spacing w:after="0"/>
              <w:ind w:left="0"/>
              <w:jc w:val="right"/>
              <w:rPr>
                <w:rFonts w:ascii="Aptos Narrow" w:eastAsia="Times New Roman" w:hAnsi="Aptos Narrow" w:cs="Times New Roman"/>
                <w:color w:val="000000"/>
                <w:kern w:val="0"/>
                <w:sz w:val="22"/>
                <w:szCs w:val="22"/>
                <w:lang w:eastAsia="en-GB"/>
                <w14:ligatures w14:val="none"/>
              </w:rPr>
            </w:pPr>
            <w:r w:rsidRPr="006F07AD">
              <w:rPr>
                <w:rFonts w:ascii="Aptos Narrow" w:eastAsia="Times New Roman" w:hAnsi="Aptos Narrow" w:cs="Times New Roman"/>
                <w:color w:val="000000"/>
                <w:kern w:val="0"/>
                <w:sz w:val="22"/>
                <w:szCs w:val="22"/>
                <w:lang w:eastAsia="en-GB"/>
                <w14:ligatures w14:val="none"/>
              </w:rPr>
              <w:t>10.62</w:t>
            </w:r>
          </w:p>
        </w:tc>
      </w:tr>
      <w:tr w:rsidR="006F07AD" w:rsidRPr="006F07AD" w14:paraId="7D546E3A" w14:textId="77777777" w:rsidTr="00955577">
        <w:trPr>
          <w:trHeight w:val="285"/>
        </w:trPr>
        <w:tc>
          <w:tcPr>
            <w:tcW w:w="1095" w:type="dxa"/>
            <w:tcBorders>
              <w:top w:val="single" w:sz="4" w:space="0" w:color="auto"/>
              <w:left w:val="single" w:sz="4" w:space="0" w:color="auto"/>
              <w:bottom w:val="single" w:sz="4" w:space="0" w:color="auto"/>
              <w:right w:val="single" w:sz="4" w:space="0" w:color="auto"/>
            </w:tcBorders>
            <w:noWrap/>
            <w:vAlign w:val="bottom"/>
            <w:hideMark/>
          </w:tcPr>
          <w:p w14:paraId="0FB51FE3" w14:textId="77777777" w:rsidR="006F07AD" w:rsidRPr="006F07AD" w:rsidRDefault="006F07AD" w:rsidP="006F07AD">
            <w:pPr>
              <w:spacing w:after="0"/>
              <w:ind w:left="0"/>
              <w:rPr>
                <w:rFonts w:ascii="Aptos Narrow" w:eastAsia="Times New Roman" w:hAnsi="Aptos Narrow" w:cs="Times New Roman"/>
                <w:color w:val="000000"/>
                <w:kern w:val="0"/>
                <w:sz w:val="22"/>
                <w:szCs w:val="22"/>
                <w:lang w:eastAsia="en-GB"/>
                <w14:ligatures w14:val="none"/>
              </w:rPr>
            </w:pPr>
            <w:r w:rsidRPr="006F07AD">
              <w:rPr>
                <w:rFonts w:ascii="Aptos Narrow" w:eastAsia="Times New Roman" w:hAnsi="Aptos Narrow" w:cs="Times New Roman"/>
                <w:color w:val="000000"/>
                <w:kern w:val="0"/>
                <w:sz w:val="22"/>
                <w:szCs w:val="22"/>
                <w:lang w:eastAsia="en-GB"/>
                <w14:ligatures w14:val="none"/>
              </w:rPr>
              <w:t>2024/25</w:t>
            </w:r>
          </w:p>
        </w:tc>
        <w:tc>
          <w:tcPr>
            <w:tcW w:w="1680" w:type="dxa"/>
            <w:tcBorders>
              <w:top w:val="single" w:sz="4" w:space="0" w:color="auto"/>
              <w:left w:val="single" w:sz="4" w:space="0" w:color="auto"/>
              <w:bottom w:val="single" w:sz="4" w:space="0" w:color="auto"/>
              <w:right w:val="single" w:sz="4" w:space="0" w:color="auto"/>
            </w:tcBorders>
            <w:noWrap/>
            <w:vAlign w:val="bottom"/>
            <w:hideMark/>
          </w:tcPr>
          <w:p w14:paraId="32950715" w14:textId="77777777" w:rsidR="006F07AD" w:rsidRPr="006F07AD" w:rsidRDefault="006F07AD" w:rsidP="006F07AD">
            <w:pPr>
              <w:spacing w:after="0"/>
              <w:ind w:left="0"/>
              <w:jc w:val="right"/>
              <w:rPr>
                <w:rFonts w:ascii="Aptos Narrow" w:eastAsia="Times New Roman" w:hAnsi="Aptos Narrow" w:cs="Times New Roman"/>
                <w:color w:val="000000"/>
                <w:kern w:val="0"/>
                <w:sz w:val="22"/>
                <w:szCs w:val="22"/>
                <w:lang w:eastAsia="en-GB"/>
                <w14:ligatures w14:val="none"/>
              </w:rPr>
            </w:pPr>
            <w:r w:rsidRPr="006F07AD">
              <w:rPr>
                <w:rFonts w:ascii="Aptos Narrow" w:eastAsia="Times New Roman" w:hAnsi="Aptos Narrow" w:cs="Times New Roman"/>
                <w:color w:val="000000"/>
                <w:kern w:val="0"/>
                <w:sz w:val="22"/>
                <w:szCs w:val="22"/>
                <w:lang w:eastAsia="en-GB"/>
                <w14:ligatures w14:val="none"/>
              </w:rPr>
              <w:t>22.13</w:t>
            </w:r>
          </w:p>
        </w:tc>
        <w:tc>
          <w:tcPr>
            <w:tcW w:w="1220" w:type="dxa"/>
            <w:tcBorders>
              <w:top w:val="single" w:sz="4" w:space="0" w:color="auto"/>
              <w:left w:val="single" w:sz="4" w:space="0" w:color="auto"/>
              <w:bottom w:val="single" w:sz="4" w:space="0" w:color="auto"/>
              <w:right w:val="single" w:sz="4" w:space="0" w:color="auto"/>
            </w:tcBorders>
            <w:noWrap/>
            <w:vAlign w:val="bottom"/>
            <w:hideMark/>
          </w:tcPr>
          <w:p w14:paraId="1A3D6C46" w14:textId="77777777" w:rsidR="006F07AD" w:rsidRPr="006F07AD" w:rsidRDefault="006F07AD" w:rsidP="006F07AD">
            <w:pPr>
              <w:spacing w:after="0"/>
              <w:ind w:left="0"/>
              <w:jc w:val="right"/>
              <w:rPr>
                <w:rFonts w:ascii="Aptos Narrow" w:eastAsia="Times New Roman" w:hAnsi="Aptos Narrow" w:cs="Times New Roman"/>
                <w:color w:val="000000"/>
                <w:kern w:val="0"/>
                <w:sz w:val="22"/>
                <w:szCs w:val="22"/>
                <w:lang w:eastAsia="en-GB"/>
                <w14:ligatures w14:val="none"/>
              </w:rPr>
            </w:pPr>
            <w:r w:rsidRPr="006F07AD">
              <w:rPr>
                <w:rFonts w:ascii="Aptos Narrow" w:eastAsia="Times New Roman" w:hAnsi="Aptos Narrow" w:cs="Times New Roman"/>
                <w:color w:val="000000"/>
                <w:kern w:val="0"/>
                <w:sz w:val="22"/>
                <w:szCs w:val="22"/>
                <w:lang w:eastAsia="en-GB"/>
                <w14:ligatures w14:val="none"/>
              </w:rPr>
              <w:t>19.87</w:t>
            </w:r>
          </w:p>
        </w:tc>
        <w:tc>
          <w:tcPr>
            <w:tcW w:w="1177" w:type="dxa"/>
            <w:tcBorders>
              <w:top w:val="single" w:sz="4" w:space="0" w:color="auto"/>
              <w:left w:val="single" w:sz="4" w:space="0" w:color="auto"/>
              <w:bottom w:val="single" w:sz="4" w:space="0" w:color="auto"/>
              <w:right w:val="single" w:sz="4" w:space="0" w:color="auto"/>
            </w:tcBorders>
            <w:noWrap/>
            <w:vAlign w:val="bottom"/>
            <w:hideMark/>
          </w:tcPr>
          <w:p w14:paraId="416F8362" w14:textId="77777777" w:rsidR="006F07AD" w:rsidRPr="006F07AD" w:rsidRDefault="006F07AD" w:rsidP="006F07AD">
            <w:pPr>
              <w:spacing w:after="0"/>
              <w:ind w:left="0"/>
              <w:jc w:val="right"/>
              <w:rPr>
                <w:rFonts w:ascii="Aptos Narrow" w:eastAsia="Times New Roman" w:hAnsi="Aptos Narrow" w:cs="Times New Roman"/>
                <w:color w:val="000000"/>
                <w:kern w:val="0"/>
                <w:sz w:val="22"/>
                <w:szCs w:val="22"/>
                <w:lang w:eastAsia="en-GB"/>
                <w14:ligatures w14:val="none"/>
              </w:rPr>
            </w:pPr>
            <w:r w:rsidRPr="006F07AD">
              <w:rPr>
                <w:rFonts w:ascii="Aptos Narrow" w:eastAsia="Times New Roman" w:hAnsi="Aptos Narrow" w:cs="Times New Roman"/>
                <w:color w:val="000000"/>
                <w:kern w:val="0"/>
                <w:sz w:val="22"/>
                <w:szCs w:val="22"/>
                <w:lang w:eastAsia="en-GB"/>
                <w14:ligatures w14:val="none"/>
              </w:rPr>
              <w:t>2.26</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6E102B27" w14:textId="77777777" w:rsidR="006F07AD" w:rsidRPr="006F07AD" w:rsidRDefault="006F07AD" w:rsidP="006F07AD">
            <w:pPr>
              <w:spacing w:after="0"/>
              <w:ind w:left="0"/>
              <w:jc w:val="right"/>
              <w:rPr>
                <w:rFonts w:ascii="Aptos Narrow" w:eastAsia="Times New Roman" w:hAnsi="Aptos Narrow" w:cs="Times New Roman"/>
                <w:color w:val="000000"/>
                <w:kern w:val="0"/>
                <w:sz w:val="22"/>
                <w:szCs w:val="22"/>
                <w:lang w:eastAsia="en-GB"/>
                <w14:ligatures w14:val="none"/>
              </w:rPr>
            </w:pPr>
            <w:r w:rsidRPr="006F07AD">
              <w:rPr>
                <w:rFonts w:ascii="Aptos Narrow" w:eastAsia="Times New Roman" w:hAnsi="Aptos Narrow" w:cs="Times New Roman"/>
                <w:color w:val="000000"/>
                <w:kern w:val="0"/>
                <w:sz w:val="22"/>
                <w:szCs w:val="22"/>
                <w:lang w:eastAsia="en-GB"/>
                <w14:ligatures w14:val="none"/>
              </w:rPr>
              <w:t>10.21</w:t>
            </w:r>
          </w:p>
        </w:tc>
      </w:tr>
    </w:tbl>
    <w:p w14:paraId="26DEBE1E" w14:textId="7199D7EC" w:rsidR="006F07AD" w:rsidRDefault="006F07AD" w:rsidP="006B2215">
      <w:pPr>
        <w:spacing w:after="0"/>
        <w:ind w:left="-113"/>
        <w:jc w:val="both"/>
        <w:rPr>
          <w:rFonts w:ascii="Calibri" w:hAnsi="Calibri" w:cs="Calibri"/>
        </w:rPr>
      </w:pPr>
      <w:r>
        <w:rPr>
          <w:rFonts w:ascii="Calibri" w:hAnsi="Calibri" w:cs="Calibri"/>
        </w:rPr>
        <w:t xml:space="preserve">  </w:t>
      </w:r>
    </w:p>
    <w:p w14:paraId="65AEF0BC" w14:textId="58058593" w:rsidR="00C57E77" w:rsidRDefault="006F07AD" w:rsidP="006B2215">
      <w:pPr>
        <w:spacing w:after="0"/>
        <w:ind w:left="-113"/>
        <w:jc w:val="both"/>
        <w:rPr>
          <w:rFonts w:ascii="Calibri" w:hAnsi="Calibri" w:cs="Calibri"/>
        </w:rPr>
      </w:pPr>
      <w:r>
        <w:rPr>
          <w:rFonts w:ascii="Calibri" w:hAnsi="Calibri" w:cs="Calibri"/>
        </w:rPr>
        <w:t xml:space="preserve">         The data in figure 6.2.2 reveals a narrowing of the disability pay gap by </w:t>
      </w:r>
      <w:r w:rsidR="00C57E77">
        <w:rPr>
          <w:rFonts w:ascii="Calibri" w:hAnsi="Calibri" w:cs="Calibri"/>
        </w:rPr>
        <w:t>2.14% since 2022</w:t>
      </w:r>
      <w:r w:rsidR="00FB4EC5">
        <w:rPr>
          <w:rFonts w:ascii="Calibri" w:hAnsi="Calibri" w:cs="Calibri"/>
        </w:rPr>
        <w:t>.</w:t>
      </w:r>
      <w:r w:rsidR="00C57E77">
        <w:rPr>
          <w:rFonts w:ascii="Calibri" w:hAnsi="Calibri" w:cs="Calibri"/>
        </w:rPr>
        <w:t xml:space="preserve"> </w:t>
      </w:r>
    </w:p>
    <w:p w14:paraId="378AC590" w14:textId="2B4B4746" w:rsidR="006F07AD" w:rsidRDefault="00C57E77" w:rsidP="006B2215">
      <w:pPr>
        <w:spacing w:after="0"/>
        <w:ind w:left="-113"/>
        <w:jc w:val="both"/>
        <w:rPr>
          <w:rFonts w:ascii="Calibri" w:hAnsi="Calibri" w:cs="Calibri"/>
        </w:rPr>
      </w:pPr>
      <w:r>
        <w:rPr>
          <w:rFonts w:ascii="Calibri" w:hAnsi="Calibri" w:cs="Calibri"/>
        </w:rPr>
        <w:t xml:space="preserve">         which is a positive downward trend for Sandwell and West Birmingham NHS Trust.</w:t>
      </w:r>
    </w:p>
    <w:p w14:paraId="6C38C2D3" w14:textId="77777777" w:rsidR="006F07AD" w:rsidRDefault="006F07AD" w:rsidP="00640056">
      <w:pPr>
        <w:spacing w:after="0"/>
        <w:ind w:left="0"/>
        <w:jc w:val="both"/>
        <w:rPr>
          <w:rFonts w:ascii="Calibri" w:hAnsi="Calibri" w:cs="Calibri"/>
        </w:rPr>
      </w:pPr>
    </w:p>
    <w:p w14:paraId="3698E734" w14:textId="77777777" w:rsidR="006F07AD" w:rsidRDefault="006F07AD" w:rsidP="006B2215">
      <w:pPr>
        <w:spacing w:after="0"/>
        <w:ind w:left="-113"/>
        <w:jc w:val="both"/>
        <w:rPr>
          <w:rFonts w:ascii="Calibri" w:hAnsi="Calibri" w:cs="Calibri"/>
        </w:rPr>
      </w:pPr>
    </w:p>
    <w:p w14:paraId="7963BB71" w14:textId="77777777" w:rsidR="00B602A5" w:rsidRPr="00441304" w:rsidRDefault="006B2215" w:rsidP="006B2215">
      <w:pPr>
        <w:spacing w:after="0"/>
        <w:ind w:left="-113"/>
        <w:jc w:val="both"/>
        <w:rPr>
          <w:rFonts w:ascii="Calibri" w:hAnsi="Calibri" w:cs="Calibri"/>
        </w:rPr>
      </w:pPr>
      <w:r>
        <w:rPr>
          <w:rFonts w:ascii="Calibri" w:hAnsi="Calibri" w:cs="Calibri"/>
        </w:rPr>
        <w:lastRenderedPageBreak/>
        <w:t xml:space="preserve">6.3    </w:t>
      </w:r>
      <w:r w:rsidR="00B602A5" w:rsidRPr="00441304">
        <w:rPr>
          <w:rFonts w:ascii="Calibri" w:hAnsi="Calibri" w:cs="Calibri"/>
        </w:rPr>
        <w:t xml:space="preserve">The median pay has worsened since the previous reporting year, from 1.96% in the 23/24 </w:t>
      </w:r>
    </w:p>
    <w:p w14:paraId="5F2DDAA1" w14:textId="77777777" w:rsidR="00110736" w:rsidRDefault="00B602A5" w:rsidP="00110736">
      <w:pPr>
        <w:spacing w:after="0"/>
        <w:ind w:left="-113"/>
        <w:jc w:val="both"/>
        <w:rPr>
          <w:rFonts w:ascii="Calibri" w:hAnsi="Calibri" w:cs="Calibri"/>
        </w:rPr>
      </w:pPr>
      <w:r w:rsidRPr="00441304">
        <w:rPr>
          <w:rFonts w:ascii="Calibri" w:hAnsi="Calibri" w:cs="Calibri"/>
        </w:rPr>
        <w:t xml:space="preserve">          reporting year to 11.11%</w:t>
      </w:r>
      <w:r w:rsidR="00441304" w:rsidRPr="00441304">
        <w:rPr>
          <w:rFonts w:ascii="Calibri" w:hAnsi="Calibri" w:cs="Calibri"/>
        </w:rPr>
        <w:t>.</w:t>
      </w:r>
      <w:r>
        <w:rPr>
          <w:rFonts w:ascii="Calibri" w:hAnsi="Calibri" w:cs="Calibri"/>
        </w:rPr>
        <w:t xml:space="preserve">Figure 6.3.1 shows a breakdown of the median disability pay </w:t>
      </w:r>
    </w:p>
    <w:p w14:paraId="34756A1A" w14:textId="64D1F91C" w:rsidR="00622A0D" w:rsidRDefault="00110736" w:rsidP="00110736">
      <w:pPr>
        <w:spacing w:after="0"/>
        <w:ind w:left="-113"/>
        <w:jc w:val="both"/>
        <w:rPr>
          <w:rFonts w:ascii="Calibri" w:hAnsi="Calibri" w:cs="Calibri"/>
        </w:rPr>
      </w:pPr>
      <w:r>
        <w:rPr>
          <w:rFonts w:ascii="Calibri" w:hAnsi="Calibri" w:cs="Calibri"/>
        </w:rPr>
        <w:t xml:space="preserve">          </w:t>
      </w:r>
      <w:r w:rsidR="00B602A5">
        <w:rPr>
          <w:rFonts w:ascii="Calibri" w:hAnsi="Calibri" w:cs="Calibri"/>
        </w:rPr>
        <w:t xml:space="preserve">gap </w:t>
      </w:r>
      <w:r w:rsidR="00622A0D">
        <w:rPr>
          <w:rFonts w:ascii="Calibri" w:hAnsi="Calibri" w:cs="Calibri"/>
        </w:rPr>
        <w:t>trend data since 2022.</w:t>
      </w:r>
    </w:p>
    <w:p w14:paraId="475B3C25" w14:textId="77777777" w:rsidR="00622A0D" w:rsidRDefault="00622A0D" w:rsidP="00622A0D">
      <w:pPr>
        <w:spacing w:after="0"/>
        <w:ind w:left="-113"/>
        <w:jc w:val="both"/>
        <w:rPr>
          <w:rFonts w:ascii="Calibri" w:hAnsi="Calibri" w:cs="Calibri"/>
        </w:rPr>
      </w:pPr>
    </w:p>
    <w:tbl>
      <w:tblPr>
        <w:tblW w:w="7815" w:type="dxa"/>
        <w:tblInd w:w="426" w:type="dxa"/>
        <w:tblCellMar>
          <w:top w:w="15" w:type="dxa"/>
          <w:bottom w:w="15" w:type="dxa"/>
        </w:tblCellMar>
        <w:tblLook w:val="04A0" w:firstRow="1" w:lastRow="0" w:firstColumn="1" w:lastColumn="0" w:noHBand="0" w:noVBand="1"/>
      </w:tblPr>
      <w:tblGrid>
        <w:gridCol w:w="1595"/>
        <w:gridCol w:w="2042"/>
        <w:gridCol w:w="1483"/>
        <w:gridCol w:w="1431"/>
        <w:gridCol w:w="1264"/>
      </w:tblGrid>
      <w:tr w:rsidR="00622A0D" w:rsidRPr="00622A0D" w14:paraId="20EE1BB0" w14:textId="77777777" w:rsidTr="009C5CDC">
        <w:trPr>
          <w:trHeight w:val="292"/>
        </w:trPr>
        <w:tc>
          <w:tcPr>
            <w:tcW w:w="1595" w:type="dxa"/>
            <w:tcBorders>
              <w:top w:val="nil"/>
              <w:left w:val="nil"/>
              <w:bottom w:val="nil"/>
              <w:right w:val="nil"/>
            </w:tcBorders>
            <w:noWrap/>
            <w:vAlign w:val="bottom"/>
            <w:hideMark/>
          </w:tcPr>
          <w:p w14:paraId="1774439C" w14:textId="5E8886C0"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6.3.1</w:t>
            </w:r>
            <w:r w:rsidRPr="00622A0D">
              <w:rPr>
                <w:rFonts w:ascii="Aptos Narrow" w:eastAsia="Times New Roman" w:hAnsi="Aptos Narrow" w:cs="Times New Roman"/>
                <w:color w:val="000000"/>
                <w:kern w:val="0"/>
                <w:sz w:val="22"/>
                <w:szCs w:val="22"/>
                <w:lang w:eastAsia="en-GB"/>
                <w14:ligatures w14:val="none"/>
              </w:rPr>
              <w:t>Median</w:t>
            </w:r>
          </w:p>
        </w:tc>
        <w:tc>
          <w:tcPr>
            <w:tcW w:w="2042" w:type="dxa"/>
            <w:tcBorders>
              <w:top w:val="nil"/>
              <w:left w:val="nil"/>
              <w:bottom w:val="nil"/>
              <w:right w:val="nil"/>
            </w:tcBorders>
            <w:noWrap/>
            <w:vAlign w:val="bottom"/>
            <w:hideMark/>
          </w:tcPr>
          <w:p w14:paraId="62527B2E"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p>
        </w:tc>
        <w:tc>
          <w:tcPr>
            <w:tcW w:w="1483" w:type="dxa"/>
            <w:tcBorders>
              <w:top w:val="nil"/>
              <w:left w:val="nil"/>
              <w:bottom w:val="nil"/>
              <w:right w:val="nil"/>
            </w:tcBorders>
            <w:noWrap/>
            <w:vAlign w:val="bottom"/>
            <w:hideMark/>
          </w:tcPr>
          <w:p w14:paraId="114C86CE" w14:textId="77777777" w:rsidR="00622A0D" w:rsidRPr="00622A0D" w:rsidRDefault="00622A0D" w:rsidP="00622A0D">
            <w:pPr>
              <w:spacing w:after="0"/>
              <w:ind w:left="0"/>
              <w:rPr>
                <w:rFonts w:ascii="Times New Roman" w:eastAsia="Times New Roman" w:hAnsi="Times New Roman" w:cs="Times New Roman"/>
                <w:kern w:val="0"/>
                <w:sz w:val="20"/>
                <w:szCs w:val="20"/>
                <w:lang w:eastAsia="en-GB"/>
                <w14:ligatures w14:val="none"/>
              </w:rPr>
            </w:pPr>
          </w:p>
        </w:tc>
        <w:tc>
          <w:tcPr>
            <w:tcW w:w="1431" w:type="dxa"/>
            <w:tcBorders>
              <w:top w:val="nil"/>
              <w:left w:val="nil"/>
              <w:bottom w:val="nil"/>
              <w:right w:val="nil"/>
            </w:tcBorders>
            <w:noWrap/>
            <w:vAlign w:val="bottom"/>
            <w:hideMark/>
          </w:tcPr>
          <w:p w14:paraId="3FDC4050" w14:textId="77777777" w:rsidR="00622A0D" w:rsidRPr="00622A0D" w:rsidRDefault="00622A0D" w:rsidP="00622A0D">
            <w:pPr>
              <w:spacing w:after="0"/>
              <w:ind w:left="0"/>
              <w:rPr>
                <w:rFonts w:ascii="Times New Roman" w:eastAsia="Times New Roman" w:hAnsi="Times New Roman" w:cs="Times New Roman"/>
                <w:kern w:val="0"/>
                <w:sz w:val="20"/>
                <w:szCs w:val="20"/>
                <w:lang w:eastAsia="en-GB"/>
                <w14:ligatures w14:val="none"/>
              </w:rPr>
            </w:pPr>
          </w:p>
        </w:tc>
        <w:tc>
          <w:tcPr>
            <w:tcW w:w="1264" w:type="dxa"/>
            <w:tcBorders>
              <w:top w:val="nil"/>
              <w:left w:val="nil"/>
              <w:bottom w:val="nil"/>
              <w:right w:val="nil"/>
            </w:tcBorders>
            <w:noWrap/>
            <w:vAlign w:val="bottom"/>
            <w:hideMark/>
          </w:tcPr>
          <w:p w14:paraId="7F9C0EBB" w14:textId="77777777" w:rsidR="00622A0D" w:rsidRPr="00622A0D" w:rsidRDefault="00622A0D" w:rsidP="00622A0D">
            <w:pPr>
              <w:spacing w:after="0"/>
              <w:ind w:left="0"/>
              <w:rPr>
                <w:rFonts w:ascii="Times New Roman" w:eastAsia="Times New Roman" w:hAnsi="Times New Roman" w:cs="Times New Roman"/>
                <w:kern w:val="0"/>
                <w:sz w:val="20"/>
                <w:szCs w:val="20"/>
                <w:lang w:eastAsia="en-GB"/>
                <w14:ligatures w14:val="none"/>
              </w:rPr>
            </w:pPr>
          </w:p>
        </w:tc>
      </w:tr>
      <w:tr w:rsidR="00622A0D" w:rsidRPr="00622A0D" w14:paraId="4208F9A5" w14:textId="77777777" w:rsidTr="009C5CDC">
        <w:trPr>
          <w:trHeight w:val="292"/>
        </w:trPr>
        <w:tc>
          <w:tcPr>
            <w:tcW w:w="1595"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69A8FD3C" w14:textId="77777777" w:rsidR="00622A0D" w:rsidRPr="00622A0D" w:rsidRDefault="00622A0D" w:rsidP="00622A0D">
            <w:pPr>
              <w:spacing w:after="0"/>
              <w:ind w:left="0"/>
              <w:rPr>
                <w:rFonts w:ascii="Aptos Narrow" w:eastAsia="Times New Roman" w:hAnsi="Aptos Narrow" w:cs="Times New Roman"/>
                <w:b/>
                <w:bCs/>
                <w:color w:val="FFFFFF"/>
                <w:kern w:val="0"/>
                <w:sz w:val="22"/>
                <w:szCs w:val="22"/>
                <w:lang w:eastAsia="en-GB"/>
                <w14:ligatures w14:val="none"/>
              </w:rPr>
            </w:pPr>
            <w:r w:rsidRPr="00622A0D">
              <w:rPr>
                <w:rFonts w:ascii="Aptos Narrow" w:eastAsia="Times New Roman" w:hAnsi="Aptos Narrow" w:cs="Times New Roman"/>
                <w:b/>
                <w:bCs/>
                <w:color w:val="FFFFFF"/>
                <w:kern w:val="0"/>
                <w:sz w:val="22"/>
                <w:szCs w:val="22"/>
                <w:lang w:eastAsia="en-GB"/>
                <w14:ligatures w14:val="none"/>
              </w:rPr>
              <w:t>Year</w:t>
            </w:r>
          </w:p>
        </w:tc>
        <w:tc>
          <w:tcPr>
            <w:tcW w:w="2042"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1307DFE2" w14:textId="77777777" w:rsidR="00622A0D" w:rsidRPr="00622A0D" w:rsidRDefault="00622A0D" w:rsidP="00622A0D">
            <w:pPr>
              <w:spacing w:after="0"/>
              <w:ind w:left="0"/>
              <w:rPr>
                <w:rFonts w:ascii="Aptos Narrow" w:eastAsia="Times New Roman" w:hAnsi="Aptos Narrow" w:cs="Times New Roman"/>
                <w:b/>
                <w:bCs/>
                <w:color w:val="FFFFFF"/>
                <w:kern w:val="0"/>
                <w:sz w:val="22"/>
                <w:szCs w:val="22"/>
                <w:lang w:eastAsia="en-GB"/>
                <w14:ligatures w14:val="none"/>
              </w:rPr>
            </w:pPr>
            <w:r w:rsidRPr="00622A0D">
              <w:rPr>
                <w:rFonts w:ascii="Aptos Narrow" w:eastAsia="Times New Roman" w:hAnsi="Aptos Narrow" w:cs="Times New Roman"/>
                <w:b/>
                <w:bCs/>
                <w:color w:val="FFFFFF"/>
                <w:kern w:val="0"/>
                <w:sz w:val="22"/>
                <w:szCs w:val="22"/>
                <w:lang w:eastAsia="en-GB"/>
                <w14:ligatures w14:val="none"/>
              </w:rPr>
              <w:t>Non-Disabled (£)</w:t>
            </w:r>
          </w:p>
        </w:tc>
        <w:tc>
          <w:tcPr>
            <w:tcW w:w="1483"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3024A8F6" w14:textId="77777777" w:rsidR="00622A0D" w:rsidRPr="00622A0D" w:rsidRDefault="00622A0D" w:rsidP="00622A0D">
            <w:pPr>
              <w:spacing w:after="0"/>
              <w:ind w:left="0"/>
              <w:rPr>
                <w:rFonts w:ascii="Aptos Narrow" w:eastAsia="Times New Roman" w:hAnsi="Aptos Narrow" w:cs="Times New Roman"/>
                <w:b/>
                <w:bCs/>
                <w:color w:val="FFFFFF"/>
                <w:kern w:val="0"/>
                <w:sz w:val="22"/>
                <w:szCs w:val="22"/>
                <w:lang w:eastAsia="en-GB"/>
                <w14:ligatures w14:val="none"/>
              </w:rPr>
            </w:pPr>
            <w:r w:rsidRPr="00622A0D">
              <w:rPr>
                <w:rFonts w:ascii="Aptos Narrow" w:eastAsia="Times New Roman" w:hAnsi="Aptos Narrow" w:cs="Times New Roman"/>
                <w:b/>
                <w:bCs/>
                <w:color w:val="FFFFFF"/>
                <w:kern w:val="0"/>
                <w:sz w:val="22"/>
                <w:szCs w:val="22"/>
                <w:lang w:eastAsia="en-GB"/>
                <w14:ligatures w14:val="none"/>
              </w:rPr>
              <w:t>Disabled (£)</w:t>
            </w:r>
          </w:p>
        </w:tc>
        <w:tc>
          <w:tcPr>
            <w:tcW w:w="1431"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0972A044" w14:textId="77777777" w:rsidR="00622A0D" w:rsidRPr="00622A0D" w:rsidRDefault="00622A0D" w:rsidP="00622A0D">
            <w:pPr>
              <w:spacing w:after="0"/>
              <w:ind w:left="0"/>
              <w:rPr>
                <w:rFonts w:ascii="Aptos Narrow" w:eastAsia="Times New Roman" w:hAnsi="Aptos Narrow" w:cs="Times New Roman"/>
                <w:b/>
                <w:bCs/>
                <w:color w:val="FFFFFF"/>
                <w:kern w:val="0"/>
                <w:sz w:val="22"/>
                <w:szCs w:val="22"/>
                <w:lang w:eastAsia="en-GB"/>
                <w14:ligatures w14:val="none"/>
              </w:rPr>
            </w:pPr>
            <w:r w:rsidRPr="00622A0D">
              <w:rPr>
                <w:rFonts w:ascii="Aptos Narrow" w:eastAsia="Times New Roman" w:hAnsi="Aptos Narrow" w:cs="Times New Roman"/>
                <w:b/>
                <w:bCs/>
                <w:color w:val="FFFFFF"/>
                <w:kern w:val="0"/>
                <w:sz w:val="22"/>
                <w:szCs w:val="22"/>
                <w:lang w:eastAsia="en-GB"/>
                <w14:ligatures w14:val="none"/>
              </w:rPr>
              <w:t>Difference</w:t>
            </w:r>
          </w:p>
        </w:tc>
        <w:tc>
          <w:tcPr>
            <w:tcW w:w="1264"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0D7AFB57" w14:textId="77777777" w:rsidR="00622A0D" w:rsidRPr="00622A0D" w:rsidRDefault="00622A0D" w:rsidP="00622A0D">
            <w:pPr>
              <w:spacing w:after="0"/>
              <w:ind w:left="0"/>
              <w:rPr>
                <w:rFonts w:ascii="Aptos Narrow" w:eastAsia="Times New Roman" w:hAnsi="Aptos Narrow" w:cs="Times New Roman"/>
                <w:b/>
                <w:bCs/>
                <w:color w:val="FFFFFF"/>
                <w:kern w:val="0"/>
                <w:sz w:val="22"/>
                <w:szCs w:val="22"/>
                <w:lang w:eastAsia="en-GB"/>
                <w14:ligatures w14:val="none"/>
              </w:rPr>
            </w:pPr>
            <w:r w:rsidRPr="00622A0D">
              <w:rPr>
                <w:rFonts w:ascii="Aptos Narrow" w:eastAsia="Times New Roman" w:hAnsi="Aptos Narrow" w:cs="Times New Roman"/>
                <w:b/>
                <w:bCs/>
                <w:color w:val="FFFFFF"/>
                <w:kern w:val="0"/>
                <w:sz w:val="22"/>
                <w:szCs w:val="22"/>
                <w:lang w:eastAsia="en-GB"/>
                <w14:ligatures w14:val="none"/>
              </w:rPr>
              <w:t>Pay Gap %</w:t>
            </w:r>
          </w:p>
        </w:tc>
      </w:tr>
      <w:tr w:rsidR="00622A0D" w:rsidRPr="00622A0D" w14:paraId="4DB66266" w14:textId="77777777" w:rsidTr="009C5CDC">
        <w:trPr>
          <w:trHeight w:val="292"/>
        </w:trPr>
        <w:tc>
          <w:tcPr>
            <w:tcW w:w="1595" w:type="dxa"/>
            <w:tcBorders>
              <w:top w:val="single" w:sz="4" w:space="0" w:color="auto"/>
              <w:left w:val="single" w:sz="4" w:space="0" w:color="auto"/>
              <w:bottom w:val="single" w:sz="4" w:space="0" w:color="auto"/>
              <w:right w:val="single" w:sz="4" w:space="0" w:color="auto"/>
            </w:tcBorders>
            <w:noWrap/>
            <w:vAlign w:val="bottom"/>
            <w:hideMark/>
          </w:tcPr>
          <w:p w14:paraId="6D5DFBE4"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2022/23</w:t>
            </w:r>
          </w:p>
        </w:tc>
        <w:tc>
          <w:tcPr>
            <w:tcW w:w="2042" w:type="dxa"/>
            <w:tcBorders>
              <w:top w:val="single" w:sz="4" w:space="0" w:color="auto"/>
              <w:left w:val="single" w:sz="4" w:space="0" w:color="auto"/>
              <w:bottom w:val="single" w:sz="4" w:space="0" w:color="auto"/>
              <w:right w:val="single" w:sz="4" w:space="0" w:color="auto"/>
            </w:tcBorders>
            <w:noWrap/>
            <w:vAlign w:val="bottom"/>
            <w:hideMark/>
          </w:tcPr>
          <w:p w14:paraId="49954892"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17.1</w:t>
            </w:r>
          </w:p>
        </w:tc>
        <w:tc>
          <w:tcPr>
            <w:tcW w:w="1483" w:type="dxa"/>
            <w:tcBorders>
              <w:top w:val="single" w:sz="4" w:space="0" w:color="auto"/>
              <w:left w:val="single" w:sz="4" w:space="0" w:color="auto"/>
              <w:bottom w:val="single" w:sz="4" w:space="0" w:color="auto"/>
              <w:right w:val="single" w:sz="4" w:space="0" w:color="auto"/>
            </w:tcBorders>
            <w:noWrap/>
            <w:vAlign w:val="bottom"/>
            <w:hideMark/>
          </w:tcPr>
          <w:p w14:paraId="7F0DF4DB"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14.92</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5577845F"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2.18</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651E1271"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12.75</w:t>
            </w:r>
          </w:p>
        </w:tc>
      </w:tr>
      <w:tr w:rsidR="00622A0D" w:rsidRPr="00622A0D" w14:paraId="1A7F0A53" w14:textId="77777777" w:rsidTr="009C5CDC">
        <w:trPr>
          <w:trHeight w:val="292"/>
        </w:trPr>
        <w:tc>
          <w:tcPr>
            <w:tcW w:w="1595" w:type="dxa"/>
            <w:tcBorders>
              <w:top w:val="single" w:sz="4" w:space="0" w:color="auto"/>
              <w:left w:val="single" w:sz="4" w:space="0" w:color="auto"/>
              <w:bottom w:val="single" w:sz="4" w:space="0" w:color="auto"/>
              <w:right w:val="single" w:sz="4" w:space="0" w:color="auto"/>
            </w:tcBorders>
            <w:noWrap/>
            <w:vAlign w:val="bottom"/>
            <w:hideMark/>
          </w:tcPr>
          <w:p w14:paraId="68E9CBBA"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2023/24</w:t>
            </w:r>
          </w:p>
        </w:tc>
        <w:tc>
          <w:tcPr>
            <w:tcW w:w="2042" w:type="dxa"/>
            <w:tcBorders>
              <w:top w:val="single" w:sz="4" w:space="0" w:color="auto"/>
              <w:left w:val="single" w:sz="4" w:space="0" w:color="auto"/>
              <w:bottom w:val="single" w:sz="4" w:space="0" w:color="auto"/>
              <w:right w:val="single" w:sz="4" w:space="0" w:color="auto"/>
            </w:tcBorders>
            <w:noWrap/>
            <w:vAlign w:val="bottom"/>
            <w:hideMark/>
          </w:tcPr>
          <w:p w14:paraId="6C399541"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17.83</w:t>
            </w:r>
          </w:p>
        </w:tc>
        <w:tc>
          <w:tcPr>
            <w:tcW w:w="1483" w:type="dxa"/>
            <w:tcBorders>
              <w:top w:val="single" w:sz="4" w:space="0" w:color="auto"/>
              <w:left w:val="single" w:sz="4" w:space="0" w:color="auto"/>
              <w:bottom w:val="single" w:sz="4" w:space="0" w:color="auto"/>
              <w:right w:val="single" w:sz="4" w:space="0" w:color="auto"/>
            </w:tcBorders>
            <w:noWrap/>
            <w:vAlign w:val="bottom"/>
            <w:hideMark/>
          </w:tcPr>
          <w:p w14:paraId="781FD406"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17.48</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7815DC4B"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0.35</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79B11BA9"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1.96</w:t>
            </w:r>
          </w:p>
        </w:tc>
      </w:tr>
      <w:tr w:rsidR="00622A0D" w:rsidRPr="00622A0D" w14:paraId="75F9CA0C" w14:textId="77777777" w:rsidTr="009C5CDC">
        <w:trPr>
          <w:trHeight w:val="292"/>
        </w:trPr>
        <w:tc>
          <w:tcPr>
            <w:tcW w:w="1595" w:type="dxa"/>
            <w:tcBorders>
              <w:top w:val="single" w:sz="4" w:space="0" w:color="auto"/>
              <w:left w:val="single" w:sz="4" w:space="0" w:color="auto"/>
              <w:bottom w:val="single" w:sz="4" w:space="0" w:color="auto"/>
              <w:right w:val="single" w:sz="4" w:space="0" w:color="auto"/>
            </w:tcBorders>
            <w:noWrap/>
            <w:vAlign w:val="bottom"/>
            <w:hideMark/>
          </w:tcPr>
          <w:p w14:paraId="16BBC33C"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2024/25</w:t>
            </w:r>
          </w:p>
        </w:tc>
        <w:tc>
          <w:tcPr>
            <w:tcW w:w="2042" w:type="dxa"/>
            <w:tcBorders>
              <w:top w:val="single" w:sz="4" w:space="0" w:color="auto"/>
              <w:left w:val="single" w:sz="4" w:space="0" w:color="auto"/>
              <w:bottom w:val="single" w:sz="4" w:space="0" w:color="auto"/>
              <w:right w:val="single" w:sz="4" w:space="0" w:color="auto"/>
            </w:tcBorders>
            <w:noWrap/>
            <w:vAlign w:val="bottom"/>
            <w:hideMark/>
          </w:tcPr>
          <w:p w14:paraId="3C3D874D"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22.42</w:t>
            </w:r>
          </w:p>
        </w:tc>
        <w:tc>
          <w:tcPr>
            <w:tcW w:w="1483" w:type="dxa"/>
            <w:tcBorders>
              <w:top w:val="single" w:sz="4" w:space="0" w:color="auto"/>
              <w:left w:val="single" w:sz="4" w:space="0" w:color="auto"/>
              <w:bottom w:val="single" w:sz="4" w:space="0" w:color="auto"/>
              <w:right w:val="single" w:sz="4" w:space="0" w:color="auto"/>
            </w:tcBorders>
            <w:noWrap/>
            <w:vAlign w:val="bottom"/>
            <w:hideMark/>
          </w:tcPr>
          <w:p w14:paraId="1F7C58C9"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19.93</w:t>
            </w:r>
          </w:p>
        </w:tc>
        <w:tc>
          <w:tcPr>
            <w:tcW w:w="1431" w:type="dxa"/>
            <w:tcBorders>
              <w:top w:val="single" w:sz="4" w:space="0" w:color="auto"/>
              <w:left w:val="single" w:sz="4" w:space="0" w:color="auto"/>
              <w:bottom w:val="single" w:sz="4" w:space="0" w:color="auto"/>
              <w:right w:val="single" w:sz="4" w:space="0" w:color="auto"/>
            </w:tcBorders>
            <w:noWrap/>
            <w:vAlign w:val="bottom"/>
            <w:hideMark/>
          </w:tcPr>
          <w:p w14:paraId="0066D943"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2.49</w:t>
            </w:r>
          </w:p>
        </w:tc>
        <w:tc>
          <w:tcPr>
            <w:tcW w:w="1264" w:type="dxa"/>
            <w:tcBorders>
              <w:top w:val="single" w:sz="4" w:space="0" w:color="auto"/>
              <w:left w:val="single" w:sz="4" w:space="0" w:color="auto"/>
              <w:bottom w:val="single" w:sz="4" w:space="0" w:color="auto"/>
              <w:right w:val="single" w:sz="4" w:space="0" w:color="auto"/>
            </w:tcBorders>
            <w:noWrap/>
            <w:vAlign w:val="bottom"/>
            <w:hideMark/>
          </w:tcPr>
          <w:p w14:paraId="04A98256"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11.11</w:t>
            </w:r>
          </w:p>
        </w:tc>
      </w:tr>
    </w:tbl>
    <w:p w14:paraId="6A4F6DD5" w14:textId="607AB30A" w:rsidR="00C723D7" w:rsidRDefault="00622A0D" w:rsidP="000F504B">
      <w:pPr>
        <w:ind w:left="0"/>
        <w:jc w:val="both"/>
        <w:rPr>
          <w:rFonts w:ascii="Calibri" w:hAnsi="Calibri" w:cs="Calibri"/>
        </w:rPr>
      </w:pPr>
      <w:r>
        <w:rPr>
          <w:rFonts w:ascii="Calibri" w:hAnsi="Calibri" w:cs="Calibri"/>
        </w:rPr>
        <w:t xml:space="preserve">   </w:t>
      </w:r>
    </w:p>
    <w:p w14:paraId="50C4CFDB" w14:textId="476D82AC" w:rsidR="00622A0D" w:rsidRDefault="009C5CDC" w:rsidP="009C5CDC">
      <w:pPr>
        <w:spacing w:after="0"/>
        <w:ind w:left="-624"/>
        <w:jc w:val="both"/>
        <w:rPr>
          <w:rFonts w:ascii="Calibri" w:hAnsi="Calibri" w:cs="Calibri"/>
        </w:rPr>
      </w:pPr>
      <w:r>
        <w:rPr>
          <w:rFonts w:ascii="Calibri" w:hAnsi="Calibri" w:cs="Calibri"/>
        </w:rPr>
        <w:t xml:space="preserve">       </w:t>
      </w:r>
      <w:r w:rsidR="00064BEC">
        <w:rPr>
          <w:rFonts w:ascii="Calibri" w:hAnsi="Calibri" w:cs="Calibri"/>
        </w:rPr>
        <w:t xml:space="preserve"> </w:t>
      </w:r>
      <w:r>
        <w:rPr>
          <w:rFonts w:ascii="Calibri" w:hAnsi="Calibri" w:cs="Calibri"/>
        </w:rPr>
        <w:t xml:space="preserve">6.4 </w:t>
      </w:r>
      <w:r w:rsidR="00622A0D">
        <w:rPr>
          <w:rFonts w:ascii="Calibri" w:hAnsi="Calibri" w:cs="Calibri"/>
        </w:rPr>
        <w:t xml:space="preserve">    Although the median pay gap has worsened since 2022, there has been an overall  </w:t>
      </w:r>
    </w:p>
    <w:p w14:paraId="56A555B6" w14:textId="1FD60993" w:rsidR="00622A0D" w:rsidRDefault="00622A0D" w:rsidP="00622A0D">
      <w:pPr>
        <w:spacing w:after="0"/>
        <w:ind w:left="0"/>
        <w:jc w:val="both"/>
        <w:rPr>
          <w:rFonts w:ascii="Calibri" w:hAnsi="Calibri" w:cs="Calibri"/>
        </w:rPr>
      </w:pPr>
      <w:r>
        <w:rPr>
          <w:rFonts w:ascii="Calibri" w:hAnsi="Calibri" w:cs="Calibri"/>
        </w:rPr>
        <w:t xml:space="preserve">       improvement in the median pay of non-disabled and disabled colleagues from 12.75% to </w:t>
      </w:r>
    </w:p>
    <w:p w14:paraId="5F39B6E8" w14:textId="12AC2864" w:rsidR="009C5CDC" w:rsidRDefault="00622A0D" w:rsidP="00622A0D">
      <w:pPr>
        <w:spacing w:after="0"/>
        <w:ind w:left="0"/>
        <w:jc w:val="both"/>
        <w:rPr>
          <w:rFonts w:ascii="Calibri" w:hAnsi="Calibri" w:cs="Calibri"/>
        </w:rPr>
      </w:pPr>
      <w:r>
        <w:rPr>
          <w:rFonts w:ascii="Calibri" w:hAnsi="Calibri" w:cs="Calibri"/>
        </w:rPr>
        <w:t xml:space="preserve">       11.11 %. Figure 6.</w:t>
      </w:r>
      <w:r w:rsidR="00441304">
        <w:rPr>
          <w:rFonts w:ascii="Calibri" w:hAnsi="Calibri" w:cs="Calibri"/>
        </w:rPr>
        <w:t>4</w:t>
      </w:r>
      <w:r>
        <w:rPr>
          <w:rFonts w:ascii="Calibri" w:hAnsi="Calibri" w:cs="Calibri"/>
        </w:rPr>
        <w:t>.</w:t>
      </w:r>
      <w:r w:rsidR="00441304">
        <w:rPr>
          <w:rFonts w:ascii="Calibri" w:hAnsi="Calibri" w:cs="Calibri"/>
        </w:rPr>
        <w:t>1</w:t>
      </w:r>
      <w:r>
        <w:rPr>
          <w:rFonts w:ascii="Calibri" w:hAnsi="Calibri" w:cs="Calibri"/>
        </w:rPr>
        <w:t xml:space="preserve"> shows a breakdown of </w:t>
      </w:r>
      <w:r w:rsidR="009C5CDC">
        <w:rPr>
          <w:rFonts w:ascii="Calibri" w:hAnsi="Calibri" w:cs="Calibri"/>
        </w:rPr>
        <w:t xml:space="preserve">disabled and non-disabled staff distributed  </w:t>
      </w:r>
    </w:p>
    <w:p w14:paraId="13CA5E33" w14:textId="4D5C6806" w:rsidR="00C723D7" w:rsidRDefault="009C5CDC" w:rsidP="00622A0D">
      <w:pPr>
        <w:spacing w:after="0"/>
        <w:ind w:left="0"/>
        <w:jc w:val="both"/>
        <w:rPr>
          <w:rFonts w:ascii="Calibri" w:hAnsi="Calibri" w:cs="Calibri"/>
        </w:rPr>
      </w:pPr>
      <w:r>
        <w:rPr>
          <w:rFonts w:ascii="Calibri" w:hAnsi="Calibri" w:cs="Calibri"/>
        </w:rPr>
        <w:t xml:space="preserve">       across the AFC Pay scales and Medical and Dental staffing cohorts.</w:t>
      </w:r>
    </w:p>
    <w:p w14:paraId="2E1B81EF" w14:textId="71EE58D5" w:rsidR="00622A0D" w:rsidRDefault="00622A0D" w:rsidP="00622A0D">
      <w:pPr>
        <w:spacing w:after="0"/>
        <w:ind w:left="0"/>
        <w:jc w:val="both"/>
        <w:rPr>
          <w:rFonts w:ascii="Calibri" w:hAnsi="Calibri" w:cs="Calibri"/>
        </w:rPr>
      </w:pPr>
    </w:p>
    <w:tbl>
      <w:tblPr>
        <w:tblW w:w="7896" w:type="dxa"/>
        <w:tblInd w:w="284" w:type="dxa"/>
        <w:tblCellMar>
          <w:top w:w="15" w:type="dxa"/>
          <w:bottom w:w="15" w:type="dxa"/>
        </w:tblCellMar>
        <w:tblLook w:val="04A0" w:firstRow="1" w:lastRow="0" w:firstColumn="1" w:lastColumn="0" w:noHBand="0" w:noVBand="1"/>
      </w:tblPr>
      <w:tblGrid>
        <w:gridCol w:w="3952"/>
        <w:gridCol w:w="1045"/>
        <w:gridCol w:w="1439"/>
        <w:gridCol w:w="1460"/>
      </w:tblGrid>
      <w:tr w:rsidR="00622A0D" w:rsidRPr="00622A0D" w14:paraId="655BC99A" w14:textId="77777777" w:rsidTr="009C5CDC">
        <w:trPr>
          <w:trHeight w:val="300"/>
        </w:trPr>
        <w:tc>
          <w:tcPr>
            <w:tcW w:w="7896" w:type="dxa"/>
            <w:gridSpan w:val="4"/>
            <w:tcBorders>
              <w:top w:val="nil"/>
              <w:left w:val="nil"/>
              <w:bottom w:val="single" w:sz="4" w:space="0" w:color="BFBFBF"/>
              <w:right w:val="nil"/>
            </w:tcBorders>
            <w:noWrap/>
            <w:hideMark/>
          </w:tcPr>
          <w:p w14:paraId="3C996F9E" w14:textId="5E2BFBC9" w:rsidR="00622A0D" w:rsidRPr="00622A0D" w:rsidRDefault="00110736" w:rsidP="00622A0D">
            <w:pPr>
              <w:spacing w:after="0"/>
              <w:ind w:left="0"/>
              <w:jc w:val="center"/>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 xml:space="preserve">Figure 6.4.1 </w:t>
            </w:r>
            <w:r w:rsidR="00622A0D" w:rsidRPr="00622A0D">
              <w:rPr>
                <w:rFonts w:ascii="Calibri" w:eastAsia="Times New Roman" w:hAnsi="Calibri" w:cs="Calibri"/>
                <w:b/>
                <w:bCs/>
                <w:color w:val="000000"/>
                <w:kern w:val="0"/>
                <w:lang w:eastAsia="en-GB"/>
                <w14:ligatures w14:val="none"/>
              </w:rPr>
              <w:t>2025</w:t>
            </w:r>
          </w:p>
        </w:tc>
      </w:tr>
      <w:tr w:rsidR="00622A0D" w:rsidRPr="00622A0D" w14:paraId="3171C653"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shd w:val="clear" w:color="C0E6F5" w:fill="000000"/>
            <w:noWrap/>
            <w:vAlign w:val="bottom"/>
            <w:hideMark/>
          </w:tcPr>
          <w:p w14:paraId="0D52048C" w14:textId="77777777" w:rsidR="00622A0D" w:rsidRPr="00622A0D" w:rsidRDefault="00622A0D" w:rsidP="00622A0D">
            <w:pPr>
              <w:spacing w:after="0"/>
              <w:ind w:left="0"/>
              <w:rPr>
                <w:rFonts w:ascii="Calibri" w:eastAsia="Times New Roman" w:hAnsi="Calibri" w:cs="Calibri"/>
                <w:b/>
                <w:bCs/>
                <w:color w:val="FFFFFF"/>
                <w:kern w:val="0"/>
                <w:sz w:val="22"/>
                <w:szCs w:val="22"/>
                <w:lang w:eastAsia="en-GB"/>
                <w14:ligatures w14:val="none"/>
              </w:rPr>
            </w:pPr>
            <w:r w:rsidRPr="00622A0D">
              <w:rPr>
                <w:rFonts w:ascii="Calibri" w:eastAsia="Times New Roman" w:hAnsi="Calibri" w:cs="Calibri"/>
                <w:b/>
                <w:bCs/>
                <w:color w:val="FFFFFF"/>
                <w:kern w:val="0"/>
                <w:sz w:val="22"/>
                <w:szCs w:val="22"/>
                <w:lang w:eastAsia="en-GB"/>
                <w14:ligatures w14:val="none"/>
              </w:rPr>
              <w:t>Pay Band</w:t>
            </w:r>
          </w:p>
        </w:tc>
        <w:tc>
          <w:tcPr>
            <w:tcW w:w="1045" w:type="dxa"/>
            <w:tcBorders>
              <w:top w:val="single" w:sz="4" w:space="0" w:color="BFBFBF"/>
              <w:left w:val="single" w:sz="4" w:space="0" w:color="BFBFBF"/>
              <w:bottom w:val="single" w:sz="4" w:space="0" w:color="BFBFBF"/>
              <w:right w:val="single" w:sz="4" w:space="0" w:color="BFBFBF"/>
            </w:tcBorders>
            <w:shd w:val="clear" w:color="C0E6F5" w:fill="000000"/>
            <w:noWrap/>
            <w:vAlign w:val="bottom"/>
            <w:hideMark/>
          </w:tcPr>
          <w:p w14:paraId="1E851C0B" w14:textId="77777777" w:rsidR="00622A0D" w:rsidRPr="00622A0D" w:rsidRDefault="00622A0D" w:rsidP="00622A0D">
            <w:pPr>
              <w:spacing w:after="0"/>
              <w:ind w:left="0"/>
              <w:rPr>
                <w:rFonts w:ascii="Calibri" w:eastAsia="Times New Roman" w:hAnsi="Calibri" w:cs="Calibri"/>
                <w:b/>
                <w:bCs/>
                <w:color w:val="FFFFFF"/>
                <w:kern w:val="0"/>
                <w:sz w:val="22"/>
                <w:szCs w:val="22"/>
                <w:lang w:eastAsia="en-GB"/>
                <w14:ligatures w14:val="none"/>
              </w:rPr>
            </w:pPr>
            <w:r w:rsidRPr="00622A0D">
              <w:rPr>
                <w:rFonts w:ascii="Calibri" w:eastAsia="Times New Roman" w:hAnsi="Calibri" w:cs="Calibri"/>
                <w:b/>
                <w:bCs/>
                <w:color w:val="FFFFFF"/>
                <w:kern w:val="0"/>
                <w:sz w:val="22"/>
                <w:szCs w:val="22"/>
                <w:lang w:eastAsia="en-GB"/>
                <w14:ligatures w14:val="none"/>
              </w:rPr>
              <w:t>Disabled %</w:t>
            </w:r>
          </w:p>
        </w:tc>
        <w:tc>
          <w:tcPr>
            <w:tcW w:w="1439" w:type="dxa"/>
            <w:tcBorders>
              <w:top w:val="single" w:sz="4" w:space="0" w:color="BFBFBF"/>
              <w:left w:val="single" w:sz="4" w:space="0" w:color="BFBFBF"/>
              <w:bottom w:val="single" w:sz="4" w:space="0" w:color="BFBFBF"/>
              <w:right w:val="single" w:sz="4" w:space="0" w:color="BFBFBF"/>
            </w:tcBorders>
            <w:shd w:val="clear" w:color="C0E6F5" w:fill="000000"/>
            <w:noWrap/>
            <w:vAlign w:val="bottom"/>
            <w:hideMark/>
          </w:tcPr>
          <w:p w14:paraId="739199C6" w14:textId="77777777" w:rsidR="00622A0D" w:rsidRPr="00622A0D" w:rsidRDefault="00622A0D" w:rsidP="00622A0D">
            <w:pPr>
              <w:spacing w:after="0"/>
              <w:ind w:left="0"/>
              <w:rPr>
                <w:rFonts w:ascii="Calibri" w:eastAsia="Times New Roman" w:hAnsi="Calibri" w:cs="Calibri"/>
                <w:b/>
                <w:bCs/>
                <w:color w:val="FFFFFF"/>
                <w:kern w:val="0"/>
                <w:sz w:val="22"/>
                <w:szCs w:val="22"/>
                <w:lang w:eastAsia="en-GB"/>
                <w14:ligatures w14:val="none"/>
              </w:rPr>
            </w:pPr>
            <w:r w:rsidRPr="00622A0D">
              <w:rPr>
                <w:rFonts w:ascii="Calibri" w:eastAsia="Times New Roman" w:hAnsi="Calibri" w:cs="Calibri"/>
                <w:b/>
                <w:bCs/>
                <w:color w:val="FFFFFF"/>
                <w:kern w:val="0"/>
                <w:sz w:val="22"/>
                <w:szCs w:val="22"/>
                <w:lang w:eastAsia="en-GB"/>
                <w14:ligatures w14:val="none"/>
              </w:rPr>
              <w:t>Not Disabled %</w:t>
            </w:r>
          </w:p>
        </w:tc>
        <w:tc>
          <w:tcPr>
            <w:tcW w:w="1460" w:type="dxa"/>
            <w:tcBorders>
              <w:top w:val="single" w:sz="4" w:space="0" w:color="BFBFBF"/>
              <w:left w:val="single" w:sz="4" w:space="0" w:color="BFBFBF"/>
              <w:bottom w:val="single" w:sz="4" w:space="0" w:color="BFBFBF"/>
              <w:right w:val="single" w:sz="4" w:space="0" w:color="BFBFBF"/>
            </w:tcBorders>
            <w:shd w:val="clear" w:color="C0E6F5" w:fill="000000"/>
            <w:noWrap/>
            <w:vAlign w:val="bottom"/>
            <w:hideMark/>
          </w:tcPr>
          <w:p w14:paraId="33C54195" w14:textId="77777777" w:rsidR="00622A0D" w:rsidRPr="00622A0D" w:rsidRDefault="00622A0D" w:rsidP="00622A0D">
            <w:pPr>
              <w:spacing w:after="0"/>
              <w:ind w:left="0"/>
              <w:rPr>
                <w:rFonts w:ascii="Calibri" w:eastAsia="Times New Roman" w:hAnsi="Calibri" w:cs="Calibri"/>
                <w:b/>
                <w:bCs/>
                <w:color w:val="FFFFFF"/>
                <w:kern w:val="0"/>
                <w:sz w:val="22"/>
                <w:szCs w:val="22"/>
                <w:lang w:eastAsia="en-GB"/>
                <w14:ligatures w14:val="none"/>
              </w:rPr>
            </w:pPr>
            <w:r w:rsidRPr="00622A0D">
              <w:rPr>
                <w:rFonts w:ascii="Calibri" w:eastAsia="Times New Roman" w:hAnsi="Calibri" w:cs="Calibri"/>
                <w:b/>
                <w:bCs/>
                <w:color w:val="FFFFFF"/>
                <w:kern w:val="0"/>
                <w:sz w:val="22"/>
                <w:szCs w:val="22"/>
                <w:lang w:eastAsia="en-GB"/>
                <w14:ligatures w14:val="none"/>
              </w:rPr>
              <w:t>Not Declared %</w:t>
            </w:r>
          </w:p>
        </w:tc>
      </w:tr>
      <w:tr w:rsidR="00622A0D" w:rsidRPr="00622A0D" w14:paraId="06D5324B"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74D225C8"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Band 1</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3D005C5F"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0.0%</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51E485F2"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0.0%</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46F38229"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100.0%</w:t>
            </w:r>
          </w:p>
        </w:tc>
      </w:tr>
      <w:tr w:rsidR="00622A0D" w:rsidRPr="00622A0D" w14:paraId="3FD91119"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3BF72117"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Band 2</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12BD51E4"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5.8%</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03FB45D7"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76.0%</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59B2EA73"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18.1%</w:t>
            </w:r>
          </w:p>
        </w:tc>
      </w:tr>
      <w:tr w:rsidR="00622A0D" w:rsidRPr="00622A0D" w14:paraId="7754FD5C"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0571C553"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Band 3</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78ABC170"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4.7%</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7028E00B"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81.2%</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6B27F7A9"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14.0%</w:t>
            </w:r>
          </w:p>
        </w:tc>
      </w:tr>
      <w:tr w:rsidR="00622A0D" w:rsidRPr="00622A0D" w14:paraId="10DDDFBE"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1288B314"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Band 4</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214AB519"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5.6%</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4A1247B7"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80.8%</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3A5603D5"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13.7%</w:t>
            </w:r>
          </w:p>
        </w:tc>
      </w:tr>
      <w:tr w:rsidR="00622A0D" w:rsidRPr="00622A0D" w14:paraId="19503D74"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2ADD3BF0"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Band 5</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04513DB5"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5.1%</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3BB90239"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71.4%</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43972AC2"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23.5%</w:t>
            </w:r>
          </w:p>
        </w:tc>
      </w:tr>
      <w:tr w:rsidR="00622A0D" w:rsidRPr="00622A0D" w14:paraId="5B591D18"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365250FA"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Band 6</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0EF94564"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4.7%</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0BE7B425"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85.2%</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52F6A65D"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10.1%</w:t>
            </w:r>
          </w:p>
        </w:tc>
      </w:tr>
      <w:tr w:rsidR="00622A0D" w:rsidRPr="00622A0D" w14:paraId="3019684D"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04BDFD5C"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Band 7</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07AD6B85"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6.0%</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23029087"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86.0%</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346F6243"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8.0%</w:t>
            </w:r>
          </w:p>
        </w:tc>
      </w:tr>
      <w:tr w:rsidR="00622A0D" w:rsidRPr="00622A0D" w14:paraId="7A3F3CE8"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59C32225"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Band 8a</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2E01CCEB"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6.4%</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161F274B"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82.9%</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44332C81"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10.7%</w:t>
            </w:r>
          </w:p>
        </w:tc>
      </w:tr>
      <w:tr w:rsidR="00622A0D" w:rsidRPr="00622A0D" w14:paraId="63E88B93"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67108DA2"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Band 8b</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01167BB6"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6.1%</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5694B242"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79.8%</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21877036"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14.1%</w:t>
            </w:r>
          </w:p>
        </w:tc>
      </w:tr>
      <w:tr w:rsidR="00622A0D" w:rsidRPr="00622A0D" w14:paraId="7E765366"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6B3F7CF0"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Band 8c</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7DA8EAA9"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4.5%</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543F4FC0"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86.4%</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1BE36A6B"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9.1%</w:t>
            </w:r>
          </w:p>
        </w:tc>
      </w:tr>
      <w:tr w:rsidR="00622A0D" w:rsidRPr="00622A0D" w14:paraId="3BA6CA50"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1C6A69AA"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Band 8d</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3964711B"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4.0%</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5D53E42F"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72.0%</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7665D4EF"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24.0%</w:t>
            </w:r>
          </w:p>
        </w:tc>
      </w:tr>
      <w:tr w:rsidR="00622A0D" w:rsidRPr="00622A0D" w14:paraId="3BE2F0DD"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08AC31B6"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Band 9</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50FBD401"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0.0%</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68010FBD"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88.9%</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0BC5BCA6"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11.1%</w:t>
            </w:r>
          </w:p>
        </w:tc>
      </w:tr>
      <w:tr w:rsidR="00622A0D" w:rsidRPr="00622A0D" w14:paraId="47BF97D5"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0C3F2FD8"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Medical &amp; Dental Consultant</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6F1B37F9"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1.9%</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023F48BE"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82.2%</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50D6491C"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15.9%</w:t>
            </w:r>
          </w:p>
        </w:tc>
      </w:tr>
      <w:tr w:rsidR="00622A0D" w:rsidRPr="00622A0D" w14:paraId="7A79779F"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1C309D00"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Medical &amp; Dental Non-Consultant Career Grade</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1003BB94"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0.0%</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7A3FE78A"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74.1%</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00A2A3FB"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25.9%</w:t>
            </w:r>
          </w:p>
        </w:tc>
      </w:tr>
      <w:tr w:rsidR="00622A0D" w:rsidRPr="00622A0D" w14:paraId="13C8F9B6"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20EF0BBF"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Medical &amp; Dental Trainee Grades</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0DA25C81"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1.3%</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28C38A98"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40.5%</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70A8B8DD"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58.1%</w:t>
            </w:r>
          </w:p>
        </w:tc>
      </w:tr>
      <w:tr w:rsidR="00622A0D" w:rsidRPr="00622A0D" w14:paraId="3FD0DE71"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202085AC"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OTHER</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1AB4E710"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3.2%</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2911008B"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63.4%</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0C4EA306"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33.3%</w:t>
            </w:r>
          </w:p>
        </w:tc>
      </w:tr>
      <w:tr w:rsidR="00622A0D" w:rsidRPr="00622A0D" w14:paraId="4E989765" w14:textId="77777777" w:rsidTr="009C5CDC">
        <w:trPr>
          <w:trHeight w:val="285"/>
        </w:trPr>
        <w:tc>
          <w:tcPr>
            <w:tcW w:w="3952" w:type="dxa"/>
            <w:tcBorders>
              <w:top w:val="single" w:sz="4" w:space="0" w:color="BFBFBF"/>
              <w:left w:val="single" w:sz="4" w:space="0" w:color="BFBFBF"/>
              <w:bottom w:val="single" w:sz="4" w:space="0" w:color="BFBFBF"/>
              <w:right w:val="single" w:sz="4" w:space="0" w:color="BFBFBF"/>
            </w:tcBorders>
            <w:noWrap/>
            <w:vAlign w:val="bottom"/>
            <w:hideMark/>
          </w:tcPr>
          <w:p w14:paraId="4AF276E8" w14:textId="77777777" w:rsidR="00622A0D" w:rsidRPr="00622A0D" w:rsidRDefault="00622A0D" w:rsidP="00622A0D">
            <w:pPr>
              <w:spacing w:after="0"/>
              <w:ind w:left="0"/>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VSM</w:t>
            </w:r>
          </w:p>
        </w:tc>
        <w:tc>
          <w:tcPr>
            <w:tcW w:w="1045" w:type="dxa"/>
            <w:tcBorders>
              <w:top w:val="single" w:sz="4" w:space="0" w:color="BFBFBF"/>
              <w:left w:val="single" w:sz="4" w:space="0" w:color="BFBFBF"/>
              <w:bottom w:val="single" w:sz="4" w:space="0" w:color="BFBFBF"/>
              <w:right w:val="single" w:sz="4" w:space="0" w:color="BFBFBF"/>
            </w:tcBorders>
            <w:noWrap/>
            <w:vAlign w:val="bottom"/>
            <w:hideMark/>
          </w:tcPr>
          <w:p w14:paraId="52C884A9"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0.0%</w:t>
            </w:r>
          </w:p>
        </w:tc>
        <w:tc>
          <w:tcPr>
            <w:tcW w:w="1439" w:type="dxa"/>
            <w:tcBorders>
              <w:top w:val="single" w:sz="4" w:space="0" w:color="BFBFBF"/>
              <w:left w:val="single" w:sz="4" w:space="0" w:color="BFBFBF"/>
              <w:bottom w:val="single" w:sz="4" w:space="0" w:color="BFBFBF"/>
              <w:right w:val="single" w:sz="4" w:space="0" w:color="BFBFBF"/>
            </w:tcBorders>
            <w:noWrap/>
            <w:vAlign w:val="bottom"/>
            <w:hideMark/>
          </w:tcPr>
          <w:p w14:paraId="71963430"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100.0%</w:t>
            </w:r>
          </w:p>
        </w:tc>
        <w:tc>
          <w:tcPr>
            <w:tcW w:w="1460" w:type="dxa"/>
            <w:tcBorders>
              <w:top w:val="single" w:sz="4" w:space="0" w:color="BFBFBF"/>
              <w:left w:val="single" w:sz="4" w:space="0" w:color="BFBFBF"/>
              <w:bottom w:val="single" w:sz="4" w:space="0" w:color="BFBFBF"/>
              <w:right w:val="single" w:sz="4" w:space="0" w:color="BFBFBF"/>
            </w:tcBorders>
            <w:noWrap/>
            <w:vAlign w:val="bottom"/>
            <w:hideMark/>
          </w:tcPr>
          <w:p w14:paraId="2A5D0BC0" w14:textId="77777777" w:rsidR="00622A0D" w:rsidRPr="00622A0D" w:rsidRDefault="00622A0D" w:rsidP="00622A0D">
            <w:pPr>
              <w:spacing w:after="0"/>
              <w:ind w:left="0"/>
              <w:jc w:val="right"/>
              <w:rPr>
                <w:rFonts w:ascii="Aptos Narrow" w:eastAsia="Times New Roman" w:hAnsi="Aptos Narrow" w:cs="Times New Roman"/>
                <w:color w:val="000000"/>
                <w:kern w:val="0"/>
                <w:sz w:val="22"/>
                <w:szCs w:val="22"/>
                <w:lang w:eastAsia="en-GB"/>
                <w14:ligatures w14:val="none"/>
              </w:rPr>
            </w:pPr>
            <w:r w:rsidRPr="00622A0D">
              <w:rPr>
                <w:rFonts w:ascii="Aptos Narrow" w:eastAsia="Times New Roman" w:hAnsi="Aptos Narrow" w:cs="Times New Roman"/>
                <w:color w:val="000000"/>
                <w:kern w:val="0"/>
                <w:sz w:val="22"/>
                <w:szCs w:val="22"/>
                <w:lang w:eastAsia="en-GB"/>
                <w14:ligatures w14:val="none"/>
              </w:rPr>
              <w:t>0.0%</w:t>
            </w:r>
          </w:p>
        </w:tc>
      </w:tr>
    </w:tbl>
    <w:p w14:paraId="64F63C20" w14:textId="1C6190EE" w:rsidR="00C723D7" w:rsidRDefault="00622A0D" w:rsidP="000F504B">
      <w:pPr>
        <w:ind w:left="0"/>
        <w:jc w:val="both"/>
        <w:rPr>
          <w:rFonts w:ascii="Calibri" w:hAnsi="Calibri" w:cs="Calibri"/>
        </w:rPr>
      </w:pPr>
      <w:r>
        <w:rPr>
          <w:rFonts w:ascii="Calibri" w:hAnsi="Calibri" w:cs="Calibri"/>
        </w:rPr>
        <w:t xml:space="preserve">       </w:t>
      </w:r>
    </w:p>
    <w:p w14:paraId="4BB88198" w14:textId="4063F465" w:rsidR="009C5CDC" w:rsidRPr="0015495E" w:rsidRDefault="009C5CDC" w:rsidP="009C5CDC">
      <w:pPr>
        <w:spacing w:after="0"/>
        <w:ind w:left="0"/>
        <w:jc w:val="both"/>
        <w:rPr>
          <w:rFonts w:ascii="Calibri" w:hAnsi="Calibri" w:cs="Calibri"/>
        </w:rPr>
      </w:pPr>
      <w:r w:rsidRPr="009C5CDC">
        <w:rPr>
          <w:rFonts w:ascii="Calibri" w:hAnsi="Calibri" w:cs="Calibri"/>
        </w:rPr>
        <w:t xml:space="preserve">   </w:t>
      </w:r>
      <w:r w:rsidRPr="0015495E">
        <w:rPr>
          <w:rFonts w:ascii="Calibri" w:hAnsi="Calibri" w:cs="Calibri"/>
        </w:rPr>
        <w:t xml:space="preserve"> Figure 6.</w:t>
      </w:r>
      <w:r w:rsidR="00441304" w:rsidRPr="0015495E">
        <w:rPr>
          <w:rFonts w:ascii="Calibri" w:hAnsi="Calibri" w:cs="Calibri"/>
        </w:rPr>
        <w:t>4</w:t>
      </w:r>
      <w:r w:rsidRPr="0015495E">
        <w:rPr>
          <w:rFonts w:ascii="Calibri" w:hAnsi="Calibri" w:cs="Calibri"/>
        </w:rPr>
        <w:t>.</w:t>
      </w:r>
      <w:r w:rsidR="00441304" w:rsidRPr="0015495E">
        <w:rPr>
          <w:rFonts w:ascii="Calibri" w:hAnsi="Calibri" w:cs="Calibri"/>
        </w:rPr>
        <w:t>1</w:t>
      </w:r>
      <w:r w:rsidRPr="0015495E">
        <w:rPr>
          <w:rFonts w:ascii="Calibri" w:hAnsi="Calibri" w:cs="Calibri"/>
        </w:rPr>
        <w:t xml:space="preserve"> shows that a large proportion of staff have not disclosed their disability </w:t>
      </w:r>
    </w:p>
    <w:p w14:paraId="1CB2E64B" w14:textId="58673CD6" w:rsidR="00441304" w:rsidRDefault="009C5CDC" w:rsidP="0015495E">
      <w:pPr>
        <w:spacing w:after="0"/>
        <w:ind w:left="0"/>
        <w:jc w:val="both"/>
        <w:rPr>
          <w:rFonts w:ascii="Calibri" w:hAnsi="Calibri" w:cs="Calibri"/>
        </w:rPr>
      </w:pPr>
      <w:r w:rsidRPr="0015495E">
        <w:rPr>
          <w:rFonts w:ascii="Calibri" w:hAnsi="Calibri" w:cs="Calibri"/>
        </w:rPr>
        <w:t xml:space="preserve">    status on ESR, which </w:t>
      </w:r>
      <w:r w:rsidR="0015495E" w:rsidRPr="0015495E">
        <w:rPr>
          <w:rFonts w:ascii="Calibri" w:hAnsi="Calibri" w:cs="Calibri"/>
        </w:rPr>
        <w:t>impacts</w:t>
      </w:r>
      <w:r w:rsidRPr="0015495E">
        <w:rPr>
          <w:rFonts w:ascii="Calibri" w:hAnsi="Calibri" w:cs="Calibri"/>
        </w:rPr>
        <w:t xml:space="preserve"> the accuracy and reliability of </w:t>
      </w:r>
      <w:r w:rsidR="00B40999">
        <w:rPr>
          <w:rFonts w:ascii="Calibri" w:hAnsi="Calibri" w:cs="Calibri"/>
        </w:rPr>
        <w:t xml:space="preserve">the </w:t>
      </w:r>
      <w:r w:rsidRPr="0015495E">
        <w:rPr>
          <w:rFonts w:ascii="Calibri" w:hAnsi="Calibri" w:cs="Calibri"/>
        </w:rPr>
        <w:t xml:space="preserve">pay gap </w:t>
      </w:r>
      <w:r w:rsidR="0015495E" w:rsidRPr="0015495E">
        <w:rPr>
          <w:rFonts w:ascii="Calibri" w:hAnsi="Calibri" w:cs="Calibri"/>
        </w:rPr>
        <w:t>analysis</w:t>
      </w:r>
      <w:r w:rsidR="00110736">
        <w:rPr>
          <w:rFonts w:ascii="Calibri" w:hAnsi="Calibri" w:cs="Calibri"/>
        </w:rPr>
        <w:t>.</w:t>
      </w:r>
    </w:p>
    <w:p w14:paraId="59043FE6" w14:textId="77777777" w:rsidR="0015495E" w:rsidRDefault="0015495E" w:rsidP="009C5CDC">
      <w:pPr>
        <w:spacing w:after="0"/>
        <w:ind w:left="0"/>
        <w:jc w:val="both"/>
        <w:rPr>
          <w:rFonts w:ascii="Calibri" w:hAnsi="Calibri" w:cs="Calibri"/>
        </w:rPr>
      </w:pPr>
    </w:p>
    <w:p w14:paraId="0C6BACB8" w14:textId="77777777" w:rsidR="002D02E1" w:rsidRDefault="002D02E1" w:rsidP="009C5CDC">
      <w:pPr>
        <w:spacing w:after="0"/>
        <w:ind w:left="0"/>
        <w:jc w:val="both"/>
        <w:rPr>
          <w:rFonts w:ascii="Calibri" w:hAnsi="Calibri" w:cs="Calibri"/>
        </w:rPr>
      </w:pPr>
      <w:r>
        <w:rPr>
          <w:rFonts w:ascii="Calibri" w:hAnsi="Calibri" w:cs="Calibri"/>
        </w:rPr>
        <w:t xml:space="preserve">   </w:t>
      </w:r>
    </w:p>
    <w:p w14:paraId="08BDF1C5" w14:textId="77777777" w:rsidR="002D02E1" w:rsidRDefault="002D02E1" w:rsidP="009C5CDC">
      <w:pPr>
        <w:spacing w:after="0"/>
        <w:ind w:left="0"/>
        <w:jc w:val="both"/>
        <w:rPr>
          <w:rFonts w:ascii="Calibri" w:hAnsi="Calibri" w:cs="Calibri"/>
        </w:rPr>
      </w:pPr>
    </w:p>
    <w:p w14:paraId="26DE8F2B" w14:textId="77777777" w:rsidR="002D02E1" w:rsidRDefault="002D02E1" w:rsidP="009C5CDC">
      <w:pPr>
        <w:spacing w:after="0"/>
        <w:ind w:left="0"/>
        <w:jc w:val="both"/>
        <w:rPr>
          <w:rFonts w:ascii="Calibri" w:hAnsi="Calibri" w:cs="Calibri"/>
        </w:rPr>
      </w:pPr>
    </w:p>
    <w:p w14:paraId="4F893519" w14:textId="77777777" w:rsidR="002D02E1" w:rsidRDefault="002D02E1" w:rsidP="009C5CDC">
      <w:pPr>
        <w:spacing w:after="0"/>
        <w:ind w:left="0"/>
        <w:jc w:val="both"/>
        <w:rPr>
          <w:rFonts w:ascii="Calibri" w:hAnsi="Calibri" w:cs="Calibri"/>
        </w:rPr>
      </w:pPr>
    </w:p>
    <w:p w14:paraId="21BCCA74" w14:textId="74F559ED" w:rsidR="002D167C" w:rsidRDefault="002D02E1" w:rsidP="00110736">
      <w:pPr>
        <w:spacing w:after="0"/>
        <w:ind w:left="0"/>
        <w:rPr>
          <w:rFonts w:ascii="Calibri" w:hAnsi="Calibri" w:cs="Calibri"/>
        </w:rPr>
      </w:pPr>
      <w:r>
        <w:rPr>
          <w:rFonts w:ascii="Calibri" w:hAnsi="Calibri" w:cs="Calibri"/>
        </w:rPr>
        <w:lastRenderedPageBreak/>
        <w:t xml:space="preserve">    </w:t>
      </w:r>
      <w:r w:rsidR="00441304">
        <w:rPr>
          <w:rFonts w:ascii="Calibri" w:hAnsi="Calibri" w:cs="Calibri"/>
        </w:rPr>
        <w:t xml:space="preserve">Figure 6.4.2 below shows the number of disabled staff and </w:t>
      </w:r>
      <w:r w:rsidR="002D167C">
        <w:rPr>
          <w:rFonts w:ascii="Calibri" w:hAnsi="Calibri" w:cs="Calibri"/>
        </w:rPr>
        <w:t>non-disabled</w:t>
      </w:r>
      <w:r w:rsidR="00441304">
        <w:rPr>
          <w:rFonts w:ascii="Calibri" w:hAnsi="Calibri" w:cs="Calibri"/>
        </w:rPr>
        <w:t xml:space="preserve"> staff </w:t>
      </w:r>
    </w:p>
    <w:p w14:paraId="0E2476BB" w14:textId="55C2053D" w:rsidR="002D167C" w:rsidRDefault="002D02E1" w:rsidP="00110736">
      <w:pPr>
        <w:spacing w:after="0"/>
        <w:ind w:left="0"/>
        <w:rPr>
          <w:rFonts w:ascii="Calibri" w:hAnsi="Calibri" w:cs="Calibri"/>
        </w:rPr>
      </w:pPr>
      <w:r>
        <w:rPr>
          <w:rFonts w:ascii="Calibri" w:hAnsi="Calibri" w:cs="Calibri"/>
        </w:rPr>
        <w:t xml:space="preserve">    </w:t>
      </w:r>
      <w:r w:rsidR="00441304">
        <w:rPr>
          <w:rFonts w:ascii="Calibri" w:hAnsi="Calibri" w:cs="Calibri"/>
        </w:rPr>
        <w:t xml:space="preserve">distributed </w:t>
      </w:r>
      <w:r w:rsidR="002D167C">
        <w:rPr>
          <w:rFonts w:ascii="Calibri" w:hAnsi="Calibri" w:cs="Calibri"/>
        </w:rPr>
        <w:t>across the four pay quartiles</w:t>
      </w:r>
      <w:r w:rsidR="00B40999">
        <w:rPr>
          <w:rFonts w:ascii="Calibri" w:hAnsi="Calibri" w:cs="Calibri"/>
        </w:rPr>
        <w:t>,</w:t>
      </w:r>
      <w:r w:rsidR="002D167C">
        <w:rPr>
          <w:rFonts w:ascii="Calibri" w:hAnsi="Calibri" w:cs="Calibri"/>
        </w:rPr>
        <w:t xml:space="preserve"> showing that there is a large percentage of</w:t>
      </w:r>
    </w:p>
    <w:p w14:paraId="0AFAB990" w14:textId="0F4FEB07" w:rsidR="002D02E1" w:rsidRDefault="002D02E1" w:rsidP="00110736">
      <w:pPr>
        <w:spacing w:after="0"/>
        <w:ind w:left="0"/>
        <w:rPr>
          <w:rFonts w:ascii="Calibri" w:hAnsi="Calibri" w:cs="Calibri"/>
        </w:rPr>
      </w:pPr>
      <w:r>
        <w:rPr>
          <w:rFonts w:ascii="Calibri" w:hAnsi="Calibri" w:cs="Calibri"/>
        </w:rPr>
        <w:t xml:space="preserve">    </w:t>
      </w:r>
      <w:r w:rsidR="002D167C">
        <w:rPr>
          <w:rFonts w:ascii="Calibri" w:hAnsi="Calibri" w:cs="Calibri"/>
        </w:rPr>
        <w:t xml:space="preserve">colleagues in the non-declared categories. This will be addressed through ongoing work to </w:t>
      </w:r>
      <w:r>
        <w:rPr>
          <w:rFonts w:ascii="Calibri" w:hAnsi="Calibri" w:cs="Calibri"/>
        </w:rPr>
        <w:t xml:space="preserve"> </w:t>
      </w:r>
    </w:p>
    <w:p w14:paraId="42D76C38" w14:textId="6AF1726F" w:rsidR="00441304" w:rsidRDefault="002D02E1" w:rsidP="00110736">
      <w:pPr>
        <w:spacing w:after="0"/>
        <w:ind w:left="0"/>
        <w:rPr>
          <w:rFonts w:ascii="Calibri" w:hAnsi="Calibri" w:cs="Calibri"/>
        </w:rPr>
      </w:pPr>
      <w:r>
        <w:rPr>
          <w:rFonts w:ascii="Calibri" w:hAnsi="Calibri" w:cs="Calibri"/>
        </w:rPr>
        <w:t xml:space="preserve">    </w:t>
      </w:r>
      <w:r w:rsidR="002D167C">
        <w:rPr>
          <w:rFonts w:ascii="Calibri" w:hAnsi="Calibri" w:cs="Calibri"/>
        </w:rPr>
        <w:t>improve disability declaration rates as part of the Trust’s EDI plan.</w:t>
      </w:r>
    </w:p>
    <w:p w14:paraId="34D18915" w14:textId="77777777" w:rsidR="00441304" w:rsidRDefault="00441304" w:rsidP="009C5CDC">
      <w:pPr>
        <w:spacing w:after="0"/>
        <w:ind w:left="0"/>
        <w:jc w:val="both"/>
        <w:rPr>
          <w:rFonts w:ascii="Calibri" w:hAnsi="Calibri" w:cs="Calibri"/>
        </w:rPr>
      </w:pPr>
    </w:p>
    <w:p w14:paraId="3240F7F5" w14:textId="1397F55B" w:rsidR="00441304" w:rsidRDefault="00640056" w:rsidP="009C5CDC">
      <w:pPr>
        <w:spacing w:after="0"/>
        <w:ind w:left="0"/>
        <w:jc w:val="both"/>
        <w:rPr>
          <w:rFonts w:ascii="Calibri" w:hAnsi="Calibri" w:cs="Calibri"/>
        </w:rPr>
      </w:pPr>
      <w:r>
        <w:rPr>
          <w:rFonts w:ascii="Calibri" w:hAnsi="Calibri" w:cs="Calibri"/>
        </w:rPr>
        <w:t xml:space="preserve">   Figure 6.4.2</w:t>
      </w:r>
    </w:p>
    <w:tbl>
      <w:tblPr>
        <w:tblpPr w:leftFromText="180" w:rightFromText="180" w:vertAnchor="text" w:tblpX="137" w:tblpY="1"/>
        <w:tblOverlap w:val="never"/>
        <w:tblW w:w="8143" w:type="dxa"/>
        <w:tblLook w:val="04A0" w:firstRow="1" w:lastRow="0" w:firstColumn="1" w:lastColumn="0" w:noHBand="0" w:noVBand="1"/>
      </w:tblPr>
      <w:tblGrid>
        <w:gridCol w:w="957"/>
        <w:gridCol w:w="1192"/>
        <w:gridCol w:w="1188"/>
        <w:gridCol w:w="1212"/>
        <w:gridCol w:w="1191"/>
        <w:gridCol w:w="1212"/>
        <w:gridCol w:w="1191"/>
      </w:tblGrid>
      <w:tr w:rsidR="00441304" w:rsidRPr="00441304" w14:paraId="3A4819A7" w14:textId="77777777" w:rsidTr="00110736">
        <w:trPr>
          <w:trHeight w:val="290"/>
        </w:trPr>
        <w:tc>
          <w:tcPr>
            <w:tcW w:w="823" w:type="dxa"/>
            <w:tcBorders>
              <w:top w:val="single" w:sz="4" w:space="0" w:color="auto"/>
              <w:left w:val="single" w:sz="4" w:space="0" w:color="auto"/>
              <w:bottom w:val="single" w:sz="4" w:space="0" w:color="auto"/>
              <w:right w:val="single" w:sz="4" w:space="0" w:color="auto"/>
            </w:tcBorders>
            <w:shd w:val="clear" w:color="000000" w:fill="156082"/>
            <w:noWrap/>
            <w:vAlign w:val="bottom"/>
            <w:hideMark/>
          </w:tcPr>
          <w:p w14:paraId="27AEE224" w14:textId="77777777" w:rsidR="00441304" w:rsidRPr="00441304" w:rsidRDefault="00441304" w:rsidP="00110736">
            <w:pPr>
              <w:spacing w:after="0"/>
              <w:ind w:left="0"/>
              <w:rPr>
                <w:rFonts w:ascii="Aptos Narrow" w:eastAsia="Times New Roman" w:hAnsi="Aptos Narrow" w:cs="Times New Roman"/>
                <w:b/>
                <w:bCs/>
                <w:color w:val="FFFFFF"/>
                <w:kern w:val="0"/>
                <w:sz w:val="22"/>
                <w:szCs w:val="22"/>
                <w:lang w:eastAsia="en-GB"/>
                <w14:ligatures w14:val="none"/>
              </w:rPr>
            </w:pPr>
            <w:r w:rsidRPr="00441304">
              <w:rPr>
                <w:rFonts w:ascii="Aptos Narrow" w:eastAsia="Times New Roman" w:hAnsi="Aptos Narrow" w:cs="Times New Roman"/>
                <w:b/>
                <w:bCs/>
                <w:color w:val="FFFFFF"/>
                <w:kern w:val="0"/>
                <w:sz w:val="22"/>
                <w:szCs w:val="22"/>
                <w:lang w:eastAsia="en-GB"/>
                <w14:ligatures w14:val="none"/>
              </w:rPr>
              <w:t> </w:t>
            </w:r>
          </w:p>
        </w:tc>
        <w:tc>
          <w:tcPr>
            <w:tcW w:w="1220" w:type="dxa"/>
            <w:tcBorders>
              <w:top w:val="single" w:sz="4" w:space="0" w:color="auto"/>
              <w:left w:val="nil"/>
              <w:bottom w:val="single" w:sz="4" w:space="0" w:color="auto"/>
              <w:right w:val="single" w:sz="4" w:space="0" w:color="auto"/>
            </w:tcBorders>
            <w:shd w:val="clear" w:color="000000" w:fill="156082"/>
            <w:vAlign w:val="bottom"/>
            <w:hideMark/>
          </w:tcPr>
          <w:p w14:paraId="7B26511F" w14:textId="77777777" w:rsidR="00441304" w:rsidRPr="00441304" w:rsidRDefault="00441304" w:rsidP="00110736">
            <w:pPr>
              <w:spacing w:after="0"/>
              <w:ind w:left="0"/>
              <w:jc w:val="center"/>
              <w:rPr>
                <w:rFonts w:ascii="Aptos Narrow" w:eastAsia="Times New Roman" w:hAnsi="Aptos Narrow" w:cs="Times New Roman"/>
                <w:b/>
                <w:bCs/>
                <w:color w:val="FFFFFF"/>
                <w:kern w:val="0"/>
                <w:sz w:val="22"/>
                <w:szCs w:val="22"/>
                <w:lang w:eastAsia="en-GB"/>
                <w14:ligatures w14:val="none"/>
              </w:rPr>
            </w:pPr>
            <w:r w:rsidRPr="00441304">
              <w:rPr>
                <w:rFonts w:ascii="Aptos Narrow" w:eastAsia="Times New Roman" w:hAnsi="Aptos Narrow" w:cs="Times New Roman"/>
                <w:b/>
                <w:bCs/>
                <w:color w:val="FFFFFF"/>
                <w:kern w:val="0"/>
                <w:sz w:val="22"/>
                <w:szCs w:val="22"/>
                <w:lang w:eastAsia="en-GB"/>
                <w14:ligatures w14:val="none"/>
              </w:rPr>
              <w:t>2025</w:t>
            </w:r>
          </w:p>
        </w:tc>
        <w:tc>
          <w:tcPr>
            <w:tcW w:w="1220" w:type="dxa"/>
            <w:tcBorders>
              <w:top w:val="single" w:sz="4" w:space="0" w:color="auto"/>
              <w:left w:val="nil"/>
              <w:bottom w:val="single" w:sz="4" w:space="0" w:color="auto"/>
              <w:right w:val="single" w:sz="4" w:space="0" w:color="auto"/>
            </w:tcBorders>
            <w:shd w:val="clear" w:color="000000" w:fill="156082"/>
            <w:vAlign w:val="bottom"/>
            <w:hideMark/>
          </w:tcPr>
          <w:p w14:paraId="08030E7F" w14:textId="77777777" w:rsidR="00441304" w:rsidRPr="00441304" w:rsidRDefault="00441304" w:rsidP="00110736">
            <w:pPr>
              <w:spacing w:after="0"/>
              <w:ind w:left="0"/>
              <w:rPr>
                <w:rFonts w:ascii="Aptos Narrow" w:eastAsia="Times New Roman" w:hAnsi="Aptos Narrow" w:cs="Times New Roman"/>
                <w:b/>
                <w:bCs/>
                <w:color w:val="FFFFFF"/>
                <w:kern w:val="0"/>
                <w:sz w:val="22"/>
                <w:szCs w:val="22"/>
                <w:lang w:eastAsia="en-GB"/>
                <w14:ligatures w14:val="none"/>
              </w:rPr>
            </w:pPr>
            <w:r w:rsidRPr="00441304">
              <w:rPr>
                <w:rFonts w:ascii="Aptos Narrow" w:eastAsia="Times New Roman" w:hAnsi="Aptos Narrow" w:cs="Times New Roman"/>
                <w:b/>
                <w:bCs/>
                <w:color w:val="FFFFFF"/>
                <w:kern w:val="0"/>
                <w:sz w:val="22"/>
                <w:szCs w:val="22"/>
                <w:lang w:eastAsia="en-GB"/>
                <w14:ligatures w14:val="none"/>
              </w:rPr>
              <w:t> </w:t>
            </w:r>
          </w:p>
        </w:tc>
        <w:tc>
          <w:tcPr>
            <w:tcW w:w="1220" w:type="dxa"/>
            <w:tcBorders>
              <w:top w:val="single" w:sz="4" w:space="0" w:color="auto"/>
              <w:left w:val="nil"/>
              <w:bottom w:val="single" w:sz="4" w:space="0" w:color="auto"/>
              <w:right w:val="single" w:sz="4" w:space="0" w:color="auto"/>
            </w:tcBorders>
            <w:shd w:val="clear" w:color="000000" w:fill="156082"/>
            <w:vAlign w:val="bottom"/>
            <w:hideMark/>
          </w:tcPr>
          <w:p w14:paraId="784FD7E7" w14:textId="77777777" w:rsidR="00441304" w:rsidRPr="00441304" w:rsidRDefault="00441304" w:rsidP="00110736">
            <w:pPr>
              <w:spacing w:after="0"/>
              <w:ind w:left="0"/>
              <w:rPr>
                <w:rFonts w:ascii="Aptos Narrow" w:eastAsia="Times New Roman" w:hAnsi="Aptos Narrow" w:cs="Times New Roman"/>
                <w:b/>
                <w:bCs/>
                <w:color w:val="FFFFFF"/>
                <w:kern w:val="0"/>
                <w:sz w:val="22"/>
                <w:szCs w:val="22"/>
                <w:lang w:eastAsia="en-GB"/>
                <w14:ligatures w14:val="none"/>
              </w:rPr>
            </w:pPr>
            <w:r w:rsidRPr="00441304">
              <w:rPr>
                <w:rFonts w:ascii="Aptos Narrow" w:eastAsia="Times New Roman" w:hAnsi="Aptos Narrow" w:cs="Times New Roman"/>
                <w:b/>
                <w:bCs/>
                <w:color w:val="FFFFFF"/>
                <w:kern w:val="0"/>
                <w:sz w:val="22"/>
                <w:szCs w:val="22"/>
                <w:lang w:eastAsia="en-GB"/>
                <w14:ligatures w14:val="none"/>
              </w:rPr>
              <w:t> </w:t>
            </w:r>
          </w:p>
        </w:tc>
        <w:tc>
          <w:tcPr>
            <w:tcW w:w="1220" w:type="dxa"/>
            <w:tcBorders>
              <w:top w:val="single" w:sz="4" w:space="0" w:color="auto"/>
              <w:left w:val="nil"/>
              <w:bottom w:val="single" w:sz="4" w:space="0" w:color="auto"/>
              <w:right w:val="single" w:sz="4" w:space="0" w:color="auto"/>
            </w:tcBorders>
            <w:shd w:val="clear" w:color="000000" w:fill="156082"/>
            <w:vAlign w:val="bottom"/>
            <w:hideMark/>
          </w:tcPr>
          <w:p w14:paraId="2A1ABAD8" w14:textId="77777777" w:rsidR="00441304" w:rsidRPr="00441304" w:rsidRDefault="00441304" w:rsidP="00110736">
            <w:pPr>
              <w:spacing w:after="0"/>
              <w:ind w:left="0"/>
              <w:rPr>
                <w:rFonts w:ascii="Aptos Narrow" w:eastAsia="Times New Roman" w:hAnsi="Aptos Narrow" w:cs="Times New Roman"/>
                <w:b/>
                <w:bCs/>
                <w:color w:val="FFFFFF"/>
                <w:kern w:val="0"/>
                <w:sz w:val="22"/>
                <w:szCs w:val="22"/>
                <w:lang w:eastAsia="en-GB"/>
                <w14:ligatures w14:val="none"/>
              </w:rPr>
            </w:pPr>
            <w:r w:rsidRPr="00441304">
              <w:rPr>
                <w:rFonts w:ascii="Aptos Narrow" w:eastAsia="Times New Roman" w:hAnsi="Aptos Narrow" w:cs="Times New Roman"/>
                <w:b/>
                <w:bCs/>
                <w:color w:val="FFFFFF"/>
                <w:kern w:val="0"/>
                <w:sz w:val="22"/>
                <w:szCs w:val="22"/>
                <w:lang w:eastAsia="en-GB"/>
                <w14:ligatures w14:val="none"/>
              </w:rPr>
              <w:t> </w:t>
            </w:r>
          </w:p>
        </w:tc>
        <w:tc>
          <w:tcPr>
            <w:tcW w:w="1220" w:type="dxa"/>
            <w:tcBorders>
              <w:top w:val="single" w:sz="4" w:space="0" w:color="auto"/>
              <w:left w:val="nil"/>
              <w:bottom w:val="single" w:sz="4" w:space="0" w:color="auto"/>
              <w:right w:val="single" w:sz="4" w:space="0" w:color="auto"/>
            </w:tcBorders>
            <w:shd w:val="clear" w:color="000000" w:fill="156082"/>
            <w:vAlign w:val="bottom"/>
            <w:hideMark/>
          </w:tcPr>
          <w:p w14:paraId="5E7EC91B" w14:textId="77777777" w:rsidR="00441304" w:rsidRPr="00441304" w:rsidRDefault="00441304" w:rsidP="00110736">
            <w:pPr>
              <w:spacing w:after="0"/>
              <w:ind w:left="0"/>
              <w:rPr>
                <w:rFonts w:ascii="Aptos Narrow" w:eastAsia="Times New Roman" w:hAnsi="Aptos Narrow" w:cs="Times New Roman"/>
                <w:b/>
                <w:bCs/>
                <w:color w:val="FFFFFF"/>
                <w:kern w:val="0"/>
                <w:sz w:val="22"/>
                <w:szCs w:val="22"/>
                <w:lang w:eastAsia="en-GB"/>
                <w14:ligatures w14:val="none"/>
              </w:rPr>
            </w:pPr>
            <w:r w:rsidRPr="00441304">
              <w:rPr>
                <w:rFonts w:ascii="Aptos Narrow" w:eastAsia="Times New Roman" w:hAnsi="Aptos Narrow" w:cs="Times New Roman"/>
                <w:b/>
                <w:bCs/>
                <w:color w:val="FFFFFF"/>
                <w:kern w:val="0"/>
                <w:sz w:val="22"/>
                <w:szCs w:val="22"/>
                <w:lang w:eastAsia="en-GB"/>
                <w14:ligatures w14:val="none"/>
              </w:rPr>
              <w:t> </w:t>
            </w:r>
          </w:p>
        </w:tc>
        <w:tc>
          <w:tcPr>
            <w:tcW w:w="1220" w:type="dxa"/>
            <w:tcBorders>
              <w:top w:val="single" w:sz="4" w:space="0" w:color="auto"/>
              <w:left w:val="nil"/>
              <w:bottom w:val="single" w:sz="4" w:space="0" w:color="auto"/>
              <w:right w:val="single" w:sz="4" w:space="0" w:color="auto"/>
            </w:tcBorders>
            <w:shd w:val="clear" w:color="000000" w:fill="156082"/>
            <w:vAlign w:val="bottom"/>
            <w:hideMark/>
          </w:tcPr>
          <w:p w14:paraId="40F60C71" w14:textId="77777777" w:rsidR="00441304" w:rsidRPr="00441304" w:rsidRDefault="00441304" w:rsidP="00110736">
            <w:pPr>
              <w:spacing w:after="0"/>
              <w:ind w:left="0"/>
              <w:rPr>
                <w:rFonts w:ascii="Aptos Narrow" w:eastAsia="Times New Roman" w:hAnsi="Aptos Narrow" w:cs="Times New Roman"/>
                <w:b/>
                <w:bCs/>
                <w:color w:val="FFFFFF"/>
                <w:kern w:val="0"/>
                <w:sz w:val="22"/>
                <w:szCs w:val="22"/>
                <w:lang w:eastAsia="en-GB"/>
                <w14:ligatures w14:val="none"/>
              </w:rPr>
            </w:pPr>
            <w:r w:rsidRPr="00441304">
              <w:rPr>
                <w:rFonts w:ascii="Aptos Narrow" w:eastAsia="Times New Roman" w:hAnsi="Aptos Narrow" w:cs="Times New Roman"/>
                <w:b/>
                <w:bCs/>
                <w:color w:val="FFFFFF"/>
                <w:kern w:val="0"/>
                <w:sz w:val="22"/>
                <w:szCs w:val="22"/>
                <w:lang w:eastAsia="en-GB"/>
                <w14:ligatures w14:val="none"/>
              </w:rPr>
              <w:t> </w:t>
            </w:r>
          </w:p>
        </w:tc>
      </w:tr>
      <w:tr w:rsidR="00441304" w:rsidRPr="00441304" w14:paraId="6C5E9573" w14:textId="77777777" w:rsidTr="00110736">
        <w:trPr>
          <w:trHeight w:val="580"/>
        </w:trPr>
        <w:tc>
          <w:tcPr>
            <w:tcW w:w="823" w:type="dxa"/>
            <w:tcBorders>
              <w:top w:val="nil"/>
              <w:left w:val="single" w:sz="4" w:space="0" w:color="auto"/>
              <w:bottom w:val="single" w:sz="4" w:space="0" w:color="auto"/>
              <w:right w:val="single" w:sz="4" w:space="0" w:color="auto"/>
            </w:tcBorders>
            <w:shd w:val="clear" w:color="000000" w:fill="156082"/>
            <w:noWrap/>
            <w:hideMark/>
          </w:tcPr>
          <w:p w14:paraId="7B0CE3E5" w14:textId="77777777" w:rsidR="00441304" w:rsidRPr="00441304" w:rsidRDefault="00441304" w:rsidP="00110736">
            <w:pPr>
              <w:spacing w:after="0"/>
              <w:ind w:left="0"/>
              <w:rPr>
                <w:rFonts w:ascii="Aptos Narrow" w:eastAsia="Times New Roman" w:hAnsi="Aptos Narrow" w:cs="Times New Roman"/>
                <w:b/>
                <w:bCs/>
                <w:color w:val="FFFFFF"/>
                <w:kern w:val="0"/>
                <w:sz w:val="22"/>
                <w:szCs w:val="22"/>
                <w:lang w:eastAsia="en-GB"/>
                <w14:ligatures w14:val="none"/>
              </w:rPr>
            </w:pPr>
            <w:r w:rsidRPr="00441304">
              <w:rPr>
                <w:rFonts w:ascii="Aptos Narrow" w:eastAsia="Times New Roman" w:hAnsi="Aptos Narrow" w:cs="Times New Roman"/>
                <w:b/>
                <w:bCs/>
                <w:color w:val="FFFFFF"/>
                <w:kern w:val="0"/>
                <w:sz w:val="22"/>
                <w:szCs w:val="22"/>
                <w:lang w:eastAsia="en-GB"/>
                <w14:ligatures w14:val="none"/>
              </w:rPr>
              <w:t>Quartile</w:t>
            </w:r>
          </w:p>
        </w:tc>
        <w:tc>
          <w:tcPr>
            <w:tcW w:w="1220" w:type="dxa"/>
            <w:tcBorders>
              <w:top w:val="nil"/>
              <w:left w:val="nil"/>
              <w:bottom w:val="single" w:sz="4" w:space="0" w:color="auto"/>
              <w:right w:val="single" w:sz="4" w:space="0" w:color="auto"/>
            </w:tcBorders>
            <w:shd w:val="clear" w:color="000000" w:fill="156082"/>
            <w:hideMark/>
          </w:tcPr>
          <w:p w14:paraId="388FCC4A" w14:textId="77777777" w:rsidR="00441304" w:rsidRPr="00441304" w:rsidRDefault="00441304" w:rsidP="00110736">
            <w:pPr>
              <w:spacing w:after="0"/>
              <w:ind w:left="0"/>
              <w:rPr>
                <w:rFonts w:ascii="Aptos Narrow" w:eastAsia="Times New Roman" w:hAnsi="Aptos Narrow" w:cs="Times New Roman"/>
                <w:b/>
                <w:bCs/>
                <w:color w:val="FFFFFF"/>
                <w:kern w:val="0"/>
                <w:sz w:val="22"/>
                <w:szCs w:val="22"/>
                <w:lang w:eastAsia="en-GB"/>
                <w14:ligatures w14:val="none"/>
              </w:rPr>
            </w:pPr>
            <w:r w:rsidRPr="00441304">
              <w:rPr>
                <w:rFonts w:ascii="Aptos Narrow" w:eastAsia="Times New Roman" w:hAnsi="Aptos Narrow" w:cs="Times New Roman"/>
                <w:b/>
                <w:bCs/>
                <w:color w:val="FFFFFF"/>
                <w:kern w:val="0"/>
                <w:sz w:val="22"/>
                <w:szCs w:val="22"/>
                <w:lang w:eastAsia="en-GB"/>
                <w14:ligatures w14:val="none"/>
              </w:rPr>
              <w:t>No</w:t>
            </w:r>
          </w:p>
        </w:tc>
        <w:tc>
          <w:tcPr>
            <w:tcW w:w="1220" w:type="dxa"/>
            <w:tcBorders>
              <w:top w:val="nil"/>
              <w:left w:val="nil"/>
              <w:bottom w:val="single" w:sz="4" w:space="0" w:color="auto"/>
              <w:right w:val="single" w:sz="4" w:space="0" w:color="auto"/>
            </w:tcBorders>
            <w:shd w:val="clear" w:color="000000" w:fill="156082"/>
            <w:hideMark/>
          </w:tcPr>
          <w:p w14:paraId="7F9D15B6" w14:textId="77777777" w:rsidR="00441304" w:rsidRPr="00441304" w:rsidRDefault="00441304" w:rsidP="00110736">
            <w:pPr>
              <w:spacing w:after="0"/>
              <w:ind w:left="0"/>
              <w:rPr>
                <w:rFonts w:ascii="Aptos Narrow" w:eastAsia="Times New Roman" w:hAnsi="Aptos Narrow" w:cs="Times New Roman"/>
                <w:b/>
                <w:bCs/>
                <w:color w:val="FFFFFF"/>
                <w:kern w:val="0"/>
                <w:sz w:val="22"/>
                <w:szCs w:val="22"/>
                <w:lang w:eastAsia="en-GB"/>
                <w14:ligatures w14:val="none"/>
              </w:rPr>
            </w:pPr>
            <w:r w:rsidRPr="00441304">
              <w:rPr>
                <w:rFonts w:ascii="Aptos Narrow" w:eastAsia="Times New Roman" w:hAnsi="Aptos Narrow" w:cs="Times New Roman"/>
                <w:b/>
                <w:bCs/>
                <w:color w:val="FFFFFF"/>
                <w:kern w:val="0"/>
                <w:sz w:val="22"/>
                <w:szCs w:val="22"/>
                <w:lang w:eastAsia="en-GB"/>
                <w14:ligatures w14:val="none"/>
              </w:rPr>
              <w:t>Yes</w:t>
            </w:r>
          </w:p>
        </w:tc>
        <w:tc>
          <w:tcPr>
            <w:tcW w:w="1220" w:type="dxa"/>
            <w:tcBorders>
              <w:top w:val="nil"/>
              <w:left w:val="nil"/>
              <w:bottom w:val="single" w:sz="4" w:space="0" w:color="auto"/>
              <w:right w:val="single" w:sz="4" w:space="0" w:color="auto"/>
            </w:tcBorders>
            <w:shd w:val="clear" w:color="000000" w:fill="156082"/>
            <w:hideMark/>
          </w:tcPr>
          <w:p w14:paraId="4856D75C" w14:textId="77777777" w:rsidR="00441304" w:rsidRPr="00441304" w:rsidRDefault="00441304" w:rsidP="00110736">
            <w:pPr>
              <w:spacing w:after="0"/>
              <w:ind w:left="0"/>
              <w:rPr>
                <w:rFonts w:ascii="Aptos Narrow" w:eastAsia="Times New Roman" w:hAnsi="Aptos Narrow" w:cs="Times New Roman"/>
                <w:b/>
                <w:bCs/>
                <w:color w:val="FFFFFF"/>
                <w:kern w:val="0"/>
                <w:sz w:val="22"/>
                <w:szCs w:val="22"/>
                <w:lang w:eastAsia="en-GB"/>
                <w14:ligatures w14:val="none"/>
              </w:rPr>
            </w:pPr>
            <w:r w:rsidRPr="00441304">
              <w:rPr>
                <w:rFonts w:ascii="Aptos Narrow" w:eastAsia="Times New Roman" w:hAnsi="Aptos Narrow" w:cs="Times New Roman"/>
                <w:b/>
                <w:bCs/>
                <w:color w:val="FFFFFF"/>
                <w:kern w:val="0"/>
                <w:sz w:val="22"/>
                <w:szCs w:val="22"/>
                <w:lang w:eastAsia="en-GB"/>
                <w14:ligatures w14:val="none"/>
              </w:rPr>
              <w:t>Not Declared</w:t>
            </w:r>
          </w:p>
        </w:tc>
        <w:tc>
          <w:tcPr>
            <w:tcW w:w="1220" w:type="dxa"/>
            <w:tcBorders>
              <w:top w:val="nil"/>
              <w:left w:val="nil"/>
              <w:bottom w:val="single" w:sz="4" w:space="0" w:color="auto"/>
              <w:right w:val="single" w:sz="4" w:space="0" w:color="auto"/>
            </w:tcBorders>
            <w:shd w:val="clear" w:color="000000" w:fill="156082"/>
            <w:hideMark/>
          </w:tcPr>
          <w:p w14:paraId="4690C228" w14:textId="77777777" w:rsidR="00441304" w:rsidRPr="00441304" w:rsidRDefault="00441304" w:rsidP="00110736">
            <w:pPr>
              <w:spacing w:after="0"/>
              <w:ind w:left="0"/>
              <w:rPr>
                <w:rFonts w:ascii="Aptos Narrow" w:eastAsia="Times New Roman" w:hAnsi="Aptos Narrow" w:cs="Times New Roman"/>
                <w:b/>
                <w:bCs/>
                <w:color w:val="FFFFFF"/>
                <w:kern w:val="0"/>
                <w:sz w:val="22"/>
                <w:szCs w:val="22"/>
                <w:lang w:eastAsia="en-GB"/>
                <w14:ligatures w14:val="none"/>
              </w:rPr>
            </w:pPr>
            <w:r w:rsidRPr="00441304">
              <w:rPr>
                <w:rFonts w:ascii="Aptos Narrow" w:eastAsia="Times New Roman" w:hAnsi="Aptos Narrow" w:cs="Times New Roman"/>
                <w:b/>
                <w:bCs/>
                <w:color w:val="FFFFFF"/>
                <w:kern w:val="0"/>
                <w:sz w:val="22"/>
                <w:szCs w:val="22"/>
                <w:lang w:eastAsia="en-GB"/>
                <w14:ligatures w14:val="none"/>
              </w:rPr>
              <w:t>No %</w:t>
            </w:r>
          </w:p>
        </w:tc>
        <w:tc>
          <w:tcPr>
            <w:tcW w:w="1220" w:type="dxa"/>
            <w:tcBorders>
              <w:top w:val="nil"/>
              <w:left w:val="nil"/>
              <w:bottom w:val="single" w:sz="4" w:space="0" w:color="auto"/>
              <w:right w:val="single" w:sz="4" w:space="0" w:color="auto"/>
            </w:tcBorders>
            <w:shd w:val="clear" w:color="000000" w:fill="156082"/>
            <w:hideMark/>
          </w:tcPr>
          <w:p w14:paraId="3A755B4A" w14:textId="77777777" w:rsidR="00441304" w:rsidRPr="00441304" w:rsidRDefault="00441304" w:rsidP="00110736">
            <w:pPr>
              <w:spacing w:after="0"/>
              <w:ind w:left="0"/>
              <w:rPr>
                <w:rFonts w:ascii="Aptos Narrow" w:eastAsia="Times New Roman" w:hAnsi="Aptos Narrow" w:cs="Times New Roman"/>
                <w:b/>
                <w:bCs/>
                <w:color w:val="FFFFFF"/>
                <w:kern w:val="0"/>
                <w:sz w:val="22"/>
                <w:szCs w:val="22"/>
                <w:lang w:eastAsia="en-GB"/>
                <w14:ligatures w14:val="none"/>
              </w:rPr>
            </w:pPr>
            <w:r w:rsidRPr="00441304">
              <w:rPr>
                <w:rFonts w:ascii="Aptos Narrow" w:eastAsia="Times New Roman" w:hAnsi="Aptos Narrow" w:cs="Times New Roman"/>
                <w:b/>
                <w:bCs/>
                <w:color w:val="FFFFFF"/>
                <w:kern w:val="0"/>
                <w:sz w:val="22"/>
                <w:szCs w:val="22"/>
                <w:lang w:eastAsia="en-GB"/>
                <w14:ligatures w14:val="none"/>
              </w:rPr>
              <w:t>Not Declared %</w:t>
            </w:r>
          </w:p>
        </w:tc>
        <w:tc>
          <w:tcPr>
            <w:tcW w:w="1220" w:type="dxa"/>
            <w:tcBorders>
              <w:top w:val="nil"/>
              <w:left w:val="nil"/>
              <w:bottom w:val="single" w:sz="4" w:space="0" w:color="auto"/>
              <w:right w:val="single" w:sz="4" w:space="0" w:color="auto"/>
            </w:tcBorders>
            <w:shd w:val="clear" w:color="000000" w:fill="156082"/>
            <w:hideMark/>
          </w:tcPr>
          <w:p w14:paraId="433BE8CB" w14:textId="77777777" w:rsidR="00441304" w:rsidRPr="00441304" w:rsidRDefault="00441304" w:rsidP="00110736">
            <w:pPr>
              <w:spacing w:after="0"/>
              <w:ind w:left="0"/>
              <w:rPr>
                <w:rFonts w:ascii="Aptos Narrow" w:eastAsia="Times New Roman" w:hAnsi="Aptos Narrow" w:cs="Times New Roman"/>
                <w:b/>
                <w:bCs/>
                <w:color w:val="FFFFFF"/>
                <w:kern w:val="0"/>
                <w:sz w:val="22"/>
                <w:szCs w:val="22"/>
                <w:lang w:eastAsia="en-GB"/>
                <w14:ligatures w14:val="none"/>
              </w:rPr>
            </w:pPr>
            <w:r w:rsidRPr="00441304">
              <w:rPr>
                <w:rFonts w:ascii="Aptos Narrow" w:eastAsia="Times New Roman" w:hAnsi="Aptos Narrow" w:cs="Times New Roman"/>
                <w:b/>
                <w:bCs/>
                <w:color w:val="FFFFFF"/>
                <w:kern w:val="0"/>
                <w:sz w:val="22"/>
                <w:szCs w:val="22"/>
                <w:lang w:eastAsia="en-GB"/>
                <w14:ligatures w14:val="none"/>
              </w:rPr>
              <w:t>Yes %</w:t>
            </w:r>
          </w:p>
        </w:tc>
      </w:tr>
      <w:tr w:rsidR="00441304" w:rsidRPr="00441304" w14:paraId="394D60B0" w14:textId="77777777" w:rsidTr="00110736">
        <w:trPr>
          <w:trHeight w:val="290"/>
        </w:trPr>
        <w:tc>
          <w:tcPr>
            <w:tcW w:w="823" w:type="dxa"/>
            <w:tcBorders>
              <w:top w:val="nil"/>
              <w:left w:val="single" w:sz="4" w:space="0" w:color="auto"/>
              <w:bottom w:val="single" w:sz="4" w:space="0" w:color="auto"/>
              <w:right w:val="single" w:sz="4" w:space="0" w:color="auto"/>
            </w:tcBorders>
            <w:noWrap/>
            <w:vAlign w:val="bottom"/>
            <w:hideMark/>
          </w:tcPr>
          <w:p w14:paraId="03985797" w14:textId="77777777" w:rsidR="00441304" w:rsidRPr="00441304" w:rsidRDefault="00441304" w:rsidP="00110736">
            <w:pPr>
              <w:spacing w:after="0"/>
              <w:ind w:left="0"/>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Q1</w:t>
            </w:r>
          </w:p>
        </w:tc>
        <w:tc>
          <w:tcPr>
            <w:tcW w:w="1220" w:type="dxa"/>
            <w:tcBorders>
              <w:top w:val="nil"/>
              <w:left w:val="nil"/>
              <w:bottom w:val="single" w:sz="4" w:space="0" w:color="auto"/>
              <w:right w:val="single" w:sz="4" w:space="0" w:color="auto"/>
            </w:tcBorders>
            <w:vAlign w:val="bottom"/>
            <w:hideMark/>
          </w:tcPr>
          <w:p w14:paraId="0664E43F"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1582</w:t>
            </w:r>
          </w:p>
        </w:tc>
        <w:tc>
          <w:tcPr>
            <w:tcW w:w="1220" w:type="dxa"/>
            <w:tcBorders>
              <w:top w:val="nil"/>
              <w:left w:val="nil"/>
              <w:bottom w:val="single" w:sz="4" w:space="0" w:color="auto"/>
              <w:right w:val="single" w:sz="4" w:space="0" w:color="auto"/>
            </w:tcBorders>
            <w:vAlign w:val="bottom"/>
            <w:hideMark/>
          </w:tcPr>
          <w:p w14:paraId="6794F4B0"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120</w:t>
            </w:r>
          </w:p>
        </w:tc>
        <w:tc>
          <w:tcPr>
            <w:tcW w:w="1220" w:type="dxa"/>
            <w:tcBorders>
              <w:top w:val="nil"/>
              <w:left w:val="nil"/>
              <w:bottom w:val="single" w:sz="4" w:space="0" w:color="auto"/>
              <w:right w:val="single" w:sz="4" w:space="0" w:color="auto"/>
            </w:tcBorders>
            <w:vAlign w:val="bottom"/>
            <w:hideMark/>
          </w:tcPr>
          <w:p w14:paraId="587BFFCB"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419</w:t>
            </w:r>
          </w:p>
        </w:tc>
        <w:tc>
          <w:tcPr>
            <w:tcW w:w="1220" w:type="dxa"/>
            <w:tcBorders>
              <w:top w:val="nil"/>
              <w:left w:val="nil"/>
              <w:bottom w:val="single" w:sz="4" w:space="0" w:color="auto"/>
              <w:right w:val="single" w:sz="4" w:space="0" w:color="auto"/>
            </w:tcBorders>
            <w:vAlign w:val="bottom"/>
            <w:hideMark/>
          </w:tcPr>
          <w:p w14:paraId="2810F241"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74.6</w:t>
            </w:r>
          </w:p>
        </w:tc>
        <w:tc>
          <w:tcPr>
            <w:tcW w:w="1220" w:type="dxa"/>
            <w:tcBorders>
              <w:top w:val="nil"/>
              <w:left w:val="nil"/>
              <w:bottom w:val="single" w:sz="4" w:space="0" w:color="auto"/>
              <w:right w:val="single" w:sz="4" w:space="0" w:color="auto"/>
            </w:tcBorders>
            <w:vAlign w:val="bottom"/>
            <w:hideMark/>
          </w:tcPr>
          <w:p w14:paraId="2D2A637C"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5.7</w:t>
            </w:r>
          </w:p>
        </w:tc>
        <w:tc>
          <w:tcPr>
            <w:tcW w:w="1220" w:type="dxa"/>
            <w:tcBorders>
              <w:top w:val="nil"/>
              <w:left w:val="nil"/>
              <w:bottom w:val="single" w:sz="4" w:space="0" w:color="auto"/>
              <w:right w:val="single" w:sz="4" w:space="0" w:color="auto"/>
            </w:tcBorders>
            <w:vAlign w:val="bottom"/>
            <w:hideMark/>
          </w:tcPr>
          <w:p w14:paraId="4E37448B"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19.8</w:t>
            </w:r>
          </w:p>
        </w:tc>
      </w:tr>
      <w:tr w:rsidR="00441304" w:rsidRPr="00441304" w14:paraId="44986CF5" w14:textId="77777777" w:rsidTr="00110736">
        <w:trPr>
          <w:trHeight w:val="290"/>
        </w:trPr>
        <w:tc>
          <w:tcPr>
            <w:tcW w:w="823" w:type="dxa"/>
            <w:tcBorders>
              <w:top w:val="nil"/>
              <w:left w:val="single" w:sz="4" w:space="0" w:color="auto"/>
              <w:bottom w:val="single" w:sz="4" w:space="0" w:color="auto"/>
              <w:right w:val="single" w:sz="4" w:space="0" w:color="auto"/>
            </w:tcBorders>
            <w:noWrap/>
            <w:vAlign w:val="bottom"/>
            <w:hideMark/>
          </w:tcPr>
          <w:p w14:paraId="688311C2" w14:textId="77777777" w:rsidR="00441304" w:rsidRPr="00441304" w:rsidRDefault="00441304" w:rsidP="00110736">
            <w:pPr>
              <w:spacing w:after="0"/>
              <w:ind w:left="0"/>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Q2</w:t>
            </w:r>
          </w:p>
        </w:tc>
        <w:tc>
          <w:tcPr>
            <w:tcW w:w="1220" w:type="dxa"/>
            <w:tcBorders>
              <w:top w:val="nil"/>
              <w:left w:val="nil"/>
              <w:bottom w:val="single" w:sz="4" w:space="0" w:color="auto"/>
              <w:right w:val="single" w:sz="4" w:space="0" w:color="auto"/>
            </w:tcBorders>
            <w:vAlign w:val="bottom"/>
            <w:hideMark/>
          </w:tcPr>
          <w:p w14:paraId="074D26CE"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1587</w:t>
            </w:r>
          </w:p>
        </w:tc>
        <w:tc>
          <w:tcPr>
            <w:tcW w:w="1220" w:type="dxa"/>
            <w:tcBorders>
              <w:top w:val="nil"/>
              <w:left w:val="nil"/>
              <w:bottom w:val="single" w:sz="4" w:space="0" w:color="auto"/>
              <w:right w:val="single" w:sz="4" w:space="0" w:color="auto"/>
            </w:tcBorders>
            <w:vAlign w:val="bottom"/>
            <w:hideMark/>
          </w:tcPr>
          <w:p w14:paraId="35D672D2"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101</w:t>
            </w:r>
          </w:p>
        </w:tc>
        <w:tc>
          <w:tcPr>
            <w:tcW w:w="1220" w:type="dxa"/>
            <w:tcBorders>
              <w:top w:val="nil"/>
              <w:left w:val="nil"/>
              <w:bottom w:val="single" w:sz="4" w:space="0" w:color="auto"/>
              <w:right w:val="single" w:sz="4" w:space="0" w:color="auto"/>
            </w:tcBorders>
            <w:vAlign w:val="bottom"/>
            <w:hideMark/>
          </w:tcPr>
          <w:p w14:paraId="7EFFAECA"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435</w:t>
            </w:r>
          </w:p>
        </w:tc>
        <w:tc>
          <w:tcPr>
            <w:tcW w:w="1220" w:type="dxa"/>
            <w:tcBorders>
              <w:top w:val="nil"/>
              <w:left w:val="nil"/>
              <w:bottom w:val="single" w:sz="4" w:space="0" w:color="auto"/>
              <w:right w:val="single" w:sz="4" w:space="0" w:color="auto"/>
            </w:tcBorders>
            <w:vAlign w:val="bottom"/>
            <w:hideMark/>
          </w:tcPr>
          <w:p w14:paraId="31E166AE"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74.8</w:t>
            </w:r>
          </w:p>
        </w:tc>
        <w:tc>
          <w:tcPr>
            <w:tcW w:w="1220" w:type="dxa"/>
            <w:tcBorders>
              <w:top w:val="nil"/>
              <w:left w:val="nil"/>
              <w:bottom w:val="single" w:sz="4" w:space="0" w:color="auto"/>
              <w:right w:val="single" w:sz="4" w:space="0" w:color="auto"/>
            </w:tcBorders>
            <w:vAlign w:val="bottom"/>
            <w:hideMark/>
          </w:tcPr>
          <w:p w14:paraId="2F2CFF3F"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4.8</w:t>
            </w:r>
          </w:p>
        </w:tc>
        <w:tc>
          <w:tcPr>
            <w:tcW w:w="1220" w:type="dxa"/>
            <w:tcBorders>
              <w:top w:val="nil"/>
              <w:left w:val="nil"/>
              <w:bottom w:val="single" w:sz="4" w:space="0" w:color="auto"/>
              <w:right w:val="single" w:sz="4" w:space="0" w:color="auto"/>
            </w:tcBorders>
            <w:vAlign w:val="bottom"/>
            <w:hideMark/>
          </w:tcPr>
          <w:p w14:paraId="6C48EC26"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20.5</w:t>
            </w:r>
          </w:p>
        </w:tc>
      </w:tr>
      <w:tr w:rsidR="00441304" w:rsidRPr="00441304" w14:paraId="2166BF70" w14:textId="77777777" w:rsidTr="00110736">
        <w:trPr>
          <w:trHeight w:val="290"/>
        </w:trPr>
        <w:tc>
          <w:tcPr>
            <w:tcW w:w="823" w:type="dxa"/>
            <w:tcBorders>
              <w:top w:val="nil"/>
              <w:left w:val="single" w:sz="4" w:space="0" w:color="auto"/>
              <w:bottom w:val="single" w:sz="4" w:space="0" w:color="auto"/>
              <w:right w:val="single" w:sz="4" w:space="0" w:color="auto"/>
            </w:tcBorders>
            <w:noWrap/>
            <w:vAlign w:val="bottom"/>
            <w:hideMark/>
          </w:tcPr>
          <w:p w14:paraId="2698D649" w14:textId="77777777" w:rsidR="00441304" w:rsidRPr="00441304" w:rsidRDefault="00441304" w:rsidP="00110736">
            <w:pPr>
              <w:spacing w:after="0"/>
              <w:ind w:left="0"/>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Q3</w:t>
            </w:r>
          </w:p>
        </w:tc>
        <w:tc>
          <w:tcPr>
            <w:tcW w:w="1220" w:type="dxa"/>
            <w:tcBorders>
              <w:top w:val="nil"/>
              <w:left w:val="nil"/>
              <w:bottom w:val="single" w:sz="4" w:space="0" w:color="auto"/>
              <w:right w:val="single" w:sz="4" w:space="0" w:color="auto"/>
            </w:tcBorders>
            <w:vAlign w:val="bottom"/>
            <w:hideMark/>
          </w:tcPr>
          <w:p w14:paraId="50617BD8"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1583</w:t>
            </w:r>
          </w:p>
        </w:tc>
        <w:tc>
          <w:tcPr>
            <w:tcW w:w="1220" w:type="dxa"/>
            <w:tcBorders>
              <w:top w:val="nil"/>
              <w:left w:val="nil"/>
              <w:bottom w:val="single" w:sz="4" w:space="0" w:color="auto"/>
              <w:right w:val="single" w:sz="4" w:space="0" w:color="auto"/>
            </w:tcBorders>
            <w:vAlign w:val="bottom"/>
            <w:hideMark/>
          </w:tcPr>
          <w:p w14:paraId="46D8F8B1"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94</w:t>
            </w:r>
          </w:p>
        </w:tc>
        <w:tc>
          <w:tcPr>
            <w:tcW w:w="1220" w:type="dxa"/>
            <w:tcBorders>
              <w:top w:val="nil"/>
              <w:left w:val="nil"/>
              <w:bottom w:val="single" w:sz="4" w:space="0" w:color="auto"/>
              <w:right w:val="single" w:sz="4" w:space="0" w:color="auto"/>
            </w:tcBorders>
            <w:vAlign w:val="bottom"/>
            <w:hideMark/>
          </w:tcPr>
          <w:p w14:paraId="0CC9755F"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444</w:t>
            </w:r>
          </w:p>
        </w:tc>
        <w:tc>
          <w:tcPr>
            <w:tcW w:w="1220" w:type="dxa"/>
            <w:tcBorders>
              <w:top w:val="nil"/>
              <w:left w:val="nil"/>
              <w:bottom w:val="single" w:sz="4" w:space="0" w:color="auto"/>
              <w:right w:val="single" w:sz="4" w:space="0" w:color="auto"/>
            </w:tcBorders>
            <w:vAlign w:val="bottom"/>
            <w:hideMark/>
          </w:tcPr>
          <w:p w14:paraId="27A87389"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74.6</w:t>
            </w:r>
          </w:p>
        </w:tc>
        <w:tc>
          <w:tcPr>
            <w:tcW w:w="1220" w:type="dxa"/>
            <w:tcBorders>
              <w:top w:val="nil"/>
              <w:left w:val="nil"/>
              <w:bottom w:val="single" w:sz="4" w:space="0" w:color="auto"/>
              <w:right w:val="single" w:sz="4" w:space="0" w:color="auto"/>
            </w:tcBorders>
            <w:vAlign w:val="bottom"/>
            <w:hideMark/>
          </w:tcPr>
          <w:p w14:paraId="04652730"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4.4</w:t>
            </w:r>
          </w:p>
        </w:tc>
        <w:tc>
          <w:tcPr>
            <w:tcW w:w="1220" w:type="dxa"/>
            <w:tcBorders>
              <w:top w:val="nil"/>
              <w:left w:val="nil"/>
              <w:bottom w:val="single" w:sz="4" w:space="0" w:color="auto"/>
              <w:right w:val="single" w:sz="4" w:space="0" w:color="auto"/>
            </w:tcBorders>
            <w:vAlign w:val="bottom"/>
            <w:hideMark/>
          </w:tcPr>
          <w:p w14:paraId="379D1CCD"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20.9</w:t>
            </w:r>
          </w:p>
        </w:tc>
      </w:tr>
      <w:tr w:rsidR="00441304" w:rsidRPr="00441304" w14:paraId="6E1E4312" w14:textId="77777777" w:rsidTr="00110736">
        <w:trPr>
          <w:trHeight w:val="290"/>
        </w:trPr>
        <w:tc>
          <w:tcPr>
            <w:tcW w:w="823" w:type="dxa"/>
            <w:tcBorders>
              <w:top w:val="nil"/>
              <w:left w:val="single" w:sz="4" w:space="0" w:color="auto"/>
              <w:bottom w:val="single" w:sz="4" w:space="0" w:color="auto"/>
              <w:right w:val="single" w:sz="4" w:space="0" w:color="auto"/>
            </w:tcBorders>
            <w:noWrap/>
            <w:vAlign w:val="bottom"/>
            <w:hideMark/>
          </w:tcPr>
          <w:p w14:paraId="7DCAF2CA" w14:textId="77777777" w:rsidR="00441304" w:rsidRPr="00441304" w:rsidRDefault="00441304" w:rsidP="00110736">
            <w:pPr>
              <w:spacing w:after="0"/>
              <w:ind w:left="0"/>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Q4</w:t>
            </w:r>
          </w:p>
        </w:tc>
        <w:tc>
          <w:tcPr>
            <w:tcW w:w="1220" w:type="dxa"/>
            <w:tcBorders>
              <w:top w:val="nil"/>
              <w:left w:val="nil"/>
              <w:bottom w:val="single" w:sz="4" w:space="0" w:color="auto"/>
              <w:right w:val="single" w:sz="4" w:space="0" w:color="auto"/>
            </w:tcBorders>
            <w:vAlign w:val="bottom"/>
            <w:hideMark/>
          </w:tcPr>
          <w:p w14:paraId="6DD13E0B"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1587</w:t>
            </w:r>
          </w:p>
        </w:tc>
        <w:tc>
          <w:tcPr>
            <w:tcW w:w="1220" w:type="dxa"/>
            <w:tcBorders>
              <w:top w:val="nil"/>
              <w:left w:val="nil"/>
              <w:bottom w:val="single" w:sz="4" w:space="0" w:color="auto"/>
              <w:right w:val="single" w:sz="4" w:space="0" w:color="auto"/>
            </w:tcBorders>
            <w:vAlign w:val="bottom"/>
            <w:hideMark/>
          </w:tcPr>
          <w:p w14:paraId="0F462635"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82</w:t>
            </w:r>
          </w:p>
        </w:tc>
        <w:tc>
          <w:tcPr>
            <w:tcW w:w="1220" w:type="dxa"/>
            <w:tcBorders>
              <w:top w:val="nil"/>
              <w:left w:val="nil"/>
              <w:bottom w:val="single" w:sz="4" w:space="0" w:color="auto"/>
              <w:right w:val="single" w:sz="4" w:space="0" w:color="auto"/>
            </w:tcBorders>
            <w:vAlign w:val="bottom"/>
            <w:hideMark/>
          </w:tcPr>
          <w:p w14:paraId="11347CA0"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454</w:t>
            </w:r>
          </w:p>
        </w:tc>
        <w:tc>
          <w:tcPr>
            <w:tcW w:w="1220" w:type="dxa"/>
            <w:tcBorders>
              <w:top w:val="nil"/>
              <w:left w:val="nil"/>
              <w:bottom w:val="single" w:sz="4" w:space="0" w:color="auto"/>
              <w:right w:val="single" w:sz="4" w:space="0" w:color="auto"/>
            </w:tcBorders>
            <w:vAlign w:val="bottom"/>
            <w:hideMark/>
          </w:tcPr>
          <w:p w14:paraId="259DB089"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74.8</w:t>
            </w:r>
          </w:p>
        </w:tc>
        <w:tc>
          <w:tcPr>
            <w:tcW w:w="1220" w:type="dxa"/>
            <w:tcBorders>
              <w:top w:val="nil"/>
              <w:left w:val="nil"/>
              <w:bottom w:val="single" w:sz="4" w:space="0" w:color="auto"/>
              <w:right w:val="single" w:sz="4" w:space="0" w:color="auto"/>
            </w:tcBorders>
            <w:vAlign w:val="bottom"/>
            <w:hideMark/>
          </w:tcPr>
          <w:p w14:paraId="2D8A4A44"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3.9</w:t>
            </w:r>
          </w:p>
        </w:tc>
        <w:tc>
          <w:tcPr>
            <w:tcW w:w="1220" w:type="dxa"/>
            <w:tcBorders>
              <w:top w:val="nil"/>
              <w:left w:val="nil"/>
              <w:bottom w:val="single" w:sz="4" w:space="0" w:color="auto"/>
              <w:right w:val="single" w:sz="4" w:space="0" w:color="auto"/>
            </w:tcBorders>
            <w:vAlign w:val="bottom"/>
            <w:hideMark/>
          </w:tcPr>
          <w:p w14:paraId="2D4FEC05" w14:textId="77777777" w:rsidR="00441304" w:rsidRPr="00441304" w:rsidRDefault="00441304" w:rsidP="00110736">
            <w:pPr>
              <w:spacing w:after="0"/>
              <w:ind w:left="0"/>
              <w:jc w:val="right"/>
              <w:rPr>
                <w:rFonts w:ascii="Aptos Narrow" w:eastAsia="Times New Roman" w:hAnsi="Aptos Narrow" w:cs="Times New Roman"/>
                <w:color w:val="000000"/>
                <w:kern w:val="0"/>
                <w:sz w:val="22"/>
                <w:szCs w:val="22"/>
                <w:lang w:eastAsia="en-GB"/>
                <w14:ligatures w14:val="none"/>
              </w:rPr>
            </w:pPr>
            <w:r w:rsidRPr="00441304">
              <w:rPr>
                <w:rFonts w:ascii="Aptos Narrow" w:eastAsia="Times New Roman" w:hAnsi="Aptos Narrow" w:cs="Times New Roman"/>
                <w:color w:val="000000"/>
                <w:kern w:val="0"/>
                <w:sz w:val="22"/>
                <w:szCs w:val="22"/>
                <w:lang w:eastAsia="en-GB"/>
                <w14:ligatures w14:val="none"/>
              </w:rPr>
              <w:t>21.4</w:t>
            </w:r>
          </w:p>
        </w:tc>
      </w:tr>
      <w:tr w:rsidR="00441304" w:rsidRPr="00441304" w14:paraId="3489FF9F" w14:textId="77777777" w:rsidTr="00110736">
        <w:trPr>
          <w:trHeight w:val="290"/>
        </w:trPr>
        <w:tc>
          <w:tcPr>
            <w:tcW w:w="823" w:type="dxa"/>
            <w:tcBorders>
              <w:top w:val="nil"/>
              <w:left w:val="single" w:sz="4" w:space="0" w:color="auto"/>
              <w:bottom w:val="single" w:sz="4" w:space="0" w:color="auto"/>
              <w:right w:val="single" w:sz="4" w:space="0" w:color="auto"/>
            </w:tcBorders>
            <w:noWrap/>
            <w:vAlign w:val="bottom"/>
            <w:hideMark/>
          </w:tcPr>
          <w:p w14:paraId="19FFFFC7" w14:textId="77777777" w:rsidR="00441304" w:rsidRPr="00441304" w:rsidRDefault="00441304" w:rsidP="00110736">
            <w:pPr>
              <w:spacing w:after="0"/>
              <w:ind w:left="0"/>
              <w:rPr>
                <w:rFonts w:ascii="Aptos Narrow" w:eastAsia="Times New Roman" w:hAnsi="Aptos Narrow" w:cs="Times New Roman"/>
                <w:b/>
                <w:bCs/>
                <w:color w:val="000000"/>
                <w:kern w:val="0"/>
                <w:sz w:val="22"/>
                <w:szCs w:val="22"/>
                <w:lang w:eastAsia="en-GB"/>
                <w14:ligatures w14:val="none"/>
              </w:rPr>
            </w:pPr>
            <w:r w:rsidRPr="00441304">
              <w:rPr>
                <w:rFonts w:ascii="Aptos Narrow" w:eastAsia="Times New Roman" w:hAnsi="Aptos Narrow" w:cs="Times New Roman"/>
                <w:b/>
                <w:bCs/>
                <w:color w:val="000000"/>
                <w:kern w:val="0"/>
                <w:sz w:val="22"/>
                <w:szCs w:val="22"/>
                <w:lang w:eastAsia="en-GB"/>
                <w14:ligatures w14:val="none"/>
              </w:rPr>
              <w:t>Total</w:t>
            </w:r>
          </w:p>
        </w:tc>
        <w:tc>
          <w:tcPr>
            <w:tcW w:w="1220" w:type="dxa"/>
            <w:tcBorders>
              <w:top w:val="nil"/>
              <w:left w:val="nil"/>
              <w:bottom w:val="single" w:sz="4" w:space="0" w:color="auto"/>
              <w:right w:val="single" w:sz="4" w:space="0" w:color="auto"/>
            </w:tcBorders>
            <w:vAlign w:val="bottom"/>
            <w:hideMark/>
          </w:tcPr>
          <w:p w14:paraId="0D04410D" w14:textId="77777777" w:rsidR="00441304" w:rsidRPr="00441304" w:rsidRDefault="00441304" w:rsidP="00110736">
            <w:pPr>
              <w:spacing w:after="0"/>
              <w:ind w:left="0"/>
              <w:jc w:val="right"/>
              <w:rPr>
                <w:rFonts w:ascii="Aptos Narrow" w:eastAsia="Times New Roman" w:hAnsi="Aptos Narrow" w:cs="Times New Roman"/>
                <w:b/>
                <w:bCs/>
                <w:color w:val="000000"/>
                <w:kern w:val="0"/>
                <w:sz w:val="22"/>
                <w:szCs w:val="22"/>
                <w:lang w:eastAsia="en-GB"/>
                <w14:ligatures w14:val="none"/>
              </w:rPr>
            </w:pPr>
            <w:r w:rsidRPr="00441304">
              <w:rPr>
                <w:rFonts w:ascii="Aptos Narrow" w:eastAsia="Times New Roman" w:hAnsi="Aptos Narrow" w:cs="Times New Roman"/>
                <w:b/>
                <w:bCs/>
                <w:color w:val="000000"/>
                <w:kern w:val="0"/>
                <w:sz w:val="22"/>
                <w:szCs w:val="22"/>
                <w:lang w:eastAsia="en-GB"/>
                <w14:ligatures w14:val="none"/>
              </w:rPr>
              <w:t>6339</w:t>
            </w:r>
          </w:p>
        </w:tc>
        <w:tc>
          <w:tcPr>
            <w:tcW w:w="1220" w:type="dxa"/>
            <w:tcBorders>
              <w:top w:val="nil"/>
              <w:left w:val="nil"/>
              <w:bottom w:val="single" w:sz="4" w:space="0" w:color="auto"/>
              <w:right w:val="single" w:sz="4" w:space="0" w:color="auto"/>
            </w:tcBorders>
            <w:vAlign w:val="bottom"/>
            <w:hideMark/>
          </w:tcPr>
          <w:p w14:paraId="77403555" w14:textId="77777777" w:rsidR="00441304" w:rsidRPr="00441304" w:rsidRDefault="00441304" w:rsidP="00110736">
            <w:pPr>
              <w:spacing w:after="0"/>
              <w:ind w:left="0"/>
              <w:jc w:val="right"/>
              <w:rPr>
                <w:rFonts w:ascii="Aptos Narrow" w:eastAsia="Times New Roman" w:hAnsi="Aptos Narrow" w:cs="Times New Roman"/>
                <w:b/>
                <w:bCs/>
                <w:color w:val="000000"/>
                <w:kern w:val="0"/>
                <w:sz w:val="22"/>
                <w:szCs w:val="22"/>
                <w:lang w:eastAsia="en-GB"/>
                <w14:ligatures w14:val="none"/>
              </w:rPr>
            </w:pPr>
            <w:r w:rsidRPr="00441304">
              <w:rPr>
                <w:rFonts w:ascii="Aptos Narrow" w:eastAsia="Times New Roman" w:hAnsi="Aptos Narrow" w:cs="Times New Roman"/>
                <w:b/>
                <w:bCs/>
                <w:color w:val="000000"/>
                <w:kern w:val="0"/>
                <w:sz w:val="22"/>
                <w:szCs w:val="22"/>
                <w:lang w:eastAsia="en-GB"/>
                <w14:ligatures w14:val="none"/>
              </w:rPr>
              <w:t>397</w:t>
            </w:r>
          </w:p>
        </w:tc>
        <w:tc>
          <w:tcPr>
            <w:tcW w:w="1220" w:type="dxa"/>
            <w:tcBorders>
              <w:top w:val="nil"/>
              <w:left w:val="nil"/>
              <w:bottom w:val="single" w:sz="4" w:space="0" w:color="auto"/>
              <w:right w:val="single" w:sz="4" w:space="0" w:color="auto"/>
            </w:tcBorders>
            <w:vAlign w:val="bottom"/>
            <w:hideMark/>
          </w:tcPr>
          <w:p w14:paraId="754B051F" w14:textId="77777777" w:rsidR="00441304" w:rsidRPr="00441304" w:rsidRDefault="00441304" w:rsidP="00110736">
            <w:pPr>
              <w:spacing w:after="0"/>
              <w:ind w:left="0"/>
              <w:jc w:val="right"/>
              <w:rPr>
                <w:rFonts w:ascii="Aptos Narrow" w:eastAsia="Times New Roman" w:hAnsi="Aptos Narrow" w:cs="Times New Roman"/>
                <w:b/>
                <w:bCs/>
                <w:color w:val="000000"/>
                <w:kern w:val="0"/>
                <w:sz w:val="22"/>
                <w:szCs w:val="22"/>
                <w:lang w:eastAsia="en-GB"/>
                <w14:ligatures w14:val="none"/>
              </w:rPr>
            </w:pPr>
            <w:r w:rsidRPr="00441304">
              <w:rPr>
                <w:rFonts w:ascii="Aptos Narrow" w:eastAsia="Times New Roman" w:hAnsi="Aptos Narrow" w:cs="Times New Roman"/>
                <w:b/>
                <w:bCs/>
                <w:color w:val="000000"/>
                <w:kern w:val="0"/>
                <w:sz w:val="22"/>
                <w:szCs w:val="22"/>
                <w:lang w:eastAsia="en-GB"/>
                <w14:ligatures w14:val="none"/>
              </w:rPr>
              <w:t>1752</w:t>
            </w:r>
          </w:p>
        </w:tc>
        <w:tc>
          <w:tcPr>
            <w:tcW w:w="1220" w:type="dxa"/>
            <w:tcBorders>
              <w:top w:val="nil"/>
              <w:left w:val="nil"/>
              <w:bottom w:val="single" w:sz="4" w:space="0" w:color="auto"/>
              <w:right w:val="single" w:sz="4" w:space="0" w:color="auto"/>
            </w:tcBorders>
            <w:vAlign w:val="bottom"/>
            <w:hideMark/>
          </w:tcPr>
          <w:p w14:paraId="5A107138" w14:textId="77777777" w:rsidR="00441304" w:rsidRPr="00441304" w:rsidRDefault="00441304" w:rsidP="00110736">
            <w:pPr>
              <w:spacing w:after="0"/>
              <w:ind w:left="0"/>
              <w:jc w:val="right"/>
              <w:rPr>
                <w:rFonts w:ascii="Aptos Narrow" w:eastAsia="Times New Roman" w:hAnsi="Aptos Narrow" w:cs="Times New Roman"/>
                <w:b/>
                <w:bCs/>
                <w:color w:val="000000"/>
                <w:kern w:val="0"/>
                <w:sz w:val="22"/>
                <w:szCs w:val="22"/>
                <w:lang w:eastAsia="en-GB"/>
                <w14:ligatures w14:val="none"/>
              </w:rPr>
            </w:pPr>
            <w:r w:rsidRPr="00441304">
              <w:rPr>
                <w:rFonts w:ascii="Aptos Narrow" w:eastAsia="Times New Roman" w:hAnsi="Aptos Narrow" w:cs="Times New Roman"/>
                <w:b/>
                <w:bCs/>
                <w:color w:val="000000"/>
                <w:kern w:val="0"/>
                <w:sz w:val="22"/>
                <w:szCs w:val="22"/>
                <w:lang w:eastAsia="en-GB"/>
                <w14:ligatures w14:val="none"/>
              </w:rPr>
              <w:t>74.7</w:t>
            </w:r>
          </w:p>
        </w:tc>
        <w:tc>
          <w:tcPr>
            <w:tcW w:w="1220" w:type="dxa"/>
            <w:tcBorders>
              <w:top w:val="nil"/>
              <w:left w:val="nil"/>
              <w:bottom w:val="single" w:sz="4" w:space="0" w:color="auto"/>
              <w:right w:val="single" w:sz="4" w:space="0" w:color="auto"/>
            </w:tcBorders>
            <w:vAlign w:val="bottom"/>
            <w:hideMark/>
          </w:tcPr>
          <w:p w14:paraId="43D44E08" w14:textId="77777777" w:rsidR="00441304" w:rsidRPr="00441304" w:rsidRDefault="00441304" w:rsidP="00110736">
            <w:pPr>
              <w:spacing w:after="0"/>
              <w:ind w:left="0"/>
              <w:jc w:val="right"/>
              <w:rPr>
                <w:rFonts w:ascii="Aptos Narrow" w:eastAsia="Times New Roman" w:hAnsi="Aptos Narrow" w:cs="Times New Roman"/>
                <w:b/>
                <w:bCs/>
                <w:color w:val="000000"/>
                <w:kern w:val="0"/>
                <w:sz w:val="22"/>
                <w:szCs w:val="22"/>
                <w:lang w:eastAsia="en-GB"/>
                <w14:ligatures w14:val="none"/>
              </w:rPr>
            </w:pPr>
            <w:r w:rsidRPr="00441304">
              <w:rPr>
                <w:rFonts w:ascii="Aptos Narrow" w:eastAsia="Times New Roman" w:hAnsi="Aptos Narrow" w:cs="Times New Roman"/>
                <w:b/>
                <w:bCs/>
                <w:color w:val="000000"/>
                <w:kern w:val="0"/>
                <w:sz w:val="22"/>
                <w:szCs w:val="22"/>
                <w:lang w:eastAsia="en-GB"/>
                <w14:ligatures w14:val="none"/>
              </w:rPr>
              <w:t>4.7</w:t>
            </w:r>
          </w:p>
        </w:tc>
        <w:tc>
          <w:tcPr>
            <w:tcW w:w="1220" w:type="dxa"/>
            <w:tcBorders>
              <w:top w:val="nil"/>
              <w:left w:val="nil"/>
              <w:bottom w:val="single" w:sz="4" w:space="0" w:color="auto"/>
              <w:right w:val="single" w:sz="4" w:space="0" w:color="auto"/>
            </w:tcBorders>
            <w:vAlign w:val="bottom"/>
            <w:hideMark/>
          </w:tcPr>
          <w:p w14:paraId="42C256D5" w14:textId="77777777" w:rsidR="00441304" w:rsidRPr="00441304" w:rsidRDefault="00441304" w:rsidP="00110736">
            <w:pPr>
              <w:spacing w:after="0"/>
              <w:ind w:left="0"/>
              <w:jc w:val="right"/>
              <w:rPr>
                <w:rFonts w:ascii="Aptos Narrow" w:eastAsia="Times New Roman" w:hAnsi="Aptos Narrow" w:cs="Times New Roman"/>
                <w:b/>
                <w:bCs/>
                <w:color w:val="000000"/>
                <w:kern w:val="0"/>
                <w:sz w:val="22"/>
                <w:szCs w:val="22"/>
                <w:lang w:eastAsia="en-GB"/>
                <w14:ligatures w14:val="none"/>
              </w:rPr>
            </w:pPr>
            <w:r w:rsidRPr="00441304">
              <w:rPr>
                <w:rFonts w:ascii="Aptos Narrow" w:eastAsia="Times New Roman" w:hAnsi="Aptos Narrow" w:cs="Times New Roman"/>
                <w:b/>
                <w:bCs/>
                <w:color w:val="000000"/>
                <w:kern w:val="0"/>
                <w:sz w:val="22"/>
                <w:szCs w:val="22"/>
                <w:lang w:eastAsia="en-GB"/>
                <w14:ligatures w14:val="none"/>
              </w:rPr>
              <w:t>20.6</w:t>
            </w:r>
          </w:p>
        </w:tc>
      </w:tr>
    </w:tbl>
    <w:p w14:paraId="298BCC47" w14:textId="77777777" w:rsidR="002D167C" w:rsidRDefault="002D167C" w:rsidP="009C5CDC">
      <w:pPr>
        <w:spacing w:after="0"/>
        <w:ind w:left="0"/>
        <w:jc w:val="both"/>
        <w:rPr>
          <w:rFonts w:ascii="Calibri" w:hAnsi="Calibri" w:cs="Calibri"/>
          <w:highlight w:val="yellow"/>
        </w:rPr>
      </w:pPr>
    </w:p>
    <w:p w14:paraId="7761301B" w14:textId="77777777" w:rsidR="002D167C" w:rsidRDefault="002D167C" w:rsidP="009C5CDC">
      <w:pPr>
        <w:spacing w:after="0"/>
        <w:ind w:left="0"/>
        <w:jc w:val="both"/>
        <w:rPr>
          <w:rFonts w:ascii="Calibri" w:hAnsi="Calibri" w:cs="Calibri"/>
          <w:highlight w:val="yellow"/>
        </w:rPr>
      </w:pPr>
    </w:p>
    <w:p w14:paraId="44944786" w14:textId="77777777" w:rsidR="002D167C" w:rsidRDefault="002D167C" w:rsidP="009C5CDC">
      <w:pPr>
        <w:spacing w:after="0"/>
        <w:ind w:left="0"/>
        <w:jc w:val="both"/>
        <w:rPr>
          <w:rFonts w:ascii="Calibri" w:hAnsi="Calibri" w:cs="Calibri"/>
          <w:highlight w:val="yellow"/>
        </w:rPr>
      </w:pPr>
    </w:p>
    <w:p w14:paraId="25C2F827" w14:textId="77777777" w:rsidR="002D167C" w:rsidRDefault="002D167C" w:rsidP="009C5CDC">
      <w:pPr>
        <w:spacing w:after="0"/>
        <w:ind w:left="0"/>
        <w:jc w:val="both"/>
        <w:rPr>
          <w:rFonts w:ascii="Calibri" w:hAnsi="Calibri" w:cs="Calibri"/>
          <w:highlight w:val="yellow"/>
        </w:rPr>
      </w:pPr>
    </w:p>
    <w:p w14:paraId="50E1A06A" w14:textId="77777777" w:rsidR="002D167C" w:rsidRDefault="002D167C" w:rsidP="009C5CDC">
      <w:pPr>
        <w:spacing w:after="0"/>
        <w:ind w:left="0"/>
        <w:jc w:val="both"/>
        <w:rPr>
          <w:rFonts w:ascii="Calibri" w:hAnsi="Calibri" w:cs="Calibri"/>
          <w:highlight w:val="yellow"/>
        </w:rPr>
      </w:pPr>
    </w:p>
    <w:p w14:paraId="2DA7A945" w14:textId="77777777" w:rsidR="002D167C" w:rsidRDefault="002D167C" w:rsidP="009C5CDC">
      <w:pPr>
        <w:spacing w:after="0"/>
        <w:ind w:left="0"/>
        <w:jc w:val="both"/>
        <w:rPr>
          <w:rFonts w:ascii="Calibri" w:hAnsi="Calibri" w:cs="Calibri"/>
          <w:highlight w:val="yellow"/>
        </w:rPr>
      </w:pPr>
    </w:p>
    <w:p w14:paraId="1B91F20B" w14:textId="77777777" w:rsidR="002D167C" w:rsidRDefault="002D167C" w:rsidP="009C5CDC">
      <w:pPr>
        <w:spacing w:after="0"/>
        <w:ind w:left="0"/>
        <w:jc w:val="both"/>
        <w:rPr>
          <w:rFonts w:ascii="Calibri" w:hAnsi="Calibri" w:cs="Calibri"/>
          <w:highlight w:val="yellow"/>
        </w:rPr>
      </w:pPr>
    </w:p>
    <w:p w14:paraId="034250D7" w14:textId="77777777" w:rsidR="002D167C" w:rsidRDefault="002D167C" w:rsidP="009C5CDC">
      <w:pPr>
        <w:spacing w:after="0"/>
        <w:ind w:left="0"/>
        <w:jc w:val="both"/>
        <w:rPr>
          <w:rFonts w:ascii="Calibri" w:hAnsi="Calibri" w:cs="Calibri"/>
          <w:highlight w:val="yellow"/>
        </w:rPr>
      </w:pPr>
    </w:p>
    <w:p w14:paraId="5A4C0B3B" w14:textId="77777777" w:rsidR="002D167C" w:rsidRDefault="002D167C" w:rsidP="009C5CDC">
      <w:pPr>
        <w:spacing w:after="0"/>
        <w:ind w:left="0"/>
        <w:jc w:val="both"/>
        <w:rPr>
          <w:rFonts w:ascii="Calibri" w:hAnsi="Calibri" w:cs="Calibri"/>
          <w:highlight w:val="yellow"/>
        </w:rPr>
      </w:pPr>
    </w:p>
    <w:p w14:paraId="6CBE34CF" w14:textId="77777777" w:rsidR="002D167C" w:rsidRDefault="002D167C" w:rsidP="009C5CDC">
      <w:pPr>
        <w:spacing w:after="0"/>
        <w:ind w:left="0"/>
        <w:jc w:val="both"/>
        <w:rPr>
          <w:rFonts w:ascii="Calibri" w:hAnsi="Calibri" w:cs="Calibri"/>
          <w:highlight w:val="yellow"/>
        </w:rPr>
      </w:pPr>
    </w:p>
    <w:p w14:paraId="1BC6CF46" w14:textId="77777777" w:rsidR="002D167C" w:rsidRDefault="002D167C" w:rsidP="009C5CDC">
      <w:pPr>
        <w:spacing w:after="0"/>
        <w:ind w:left="0"/>
        <w:jc w:val="both"/>
        <w:rPr>
          <w:rFonts w:ascii="Calibri" w:hAnsi="Calibri" w:cs="Calibri"/>
          <w:highlight w:val="yellow"/>
        </w:rPr>
      </w:pPr>
    </w:p>
    <w:p w14:paraId="6E310437" w14:textId="07BBE2F5" w:rsidR="002D167C" w:rsidRDefault="00110736" w:rsidP="009C5CDC">
      <w:pPr>
        <w:spacing w:after="0"/>
        <w:ind w:left="0"/>
        <w:jc w:val="both"/>
        <w:rPr>
          <w:rFonts w:ascii="Calibri" w:hAnsi="Calibri" w:cs="Calibri"/>
          <w:highlight w:val="yellow"/>
        </w:rPr>
      </w:pPr>
      <w:r>
        <w:rPr>
          <w:rFonts w:ascii="Calibri" w:hAnsi="Calibri" w:cs="Calibri"/>
        </w:rPr>
        <w:t xml:space="preserve"> </w:t>
      </w:r>
      <w:r w:rsidR="002D167C">
        <w:rPr>
          <w:noProof/>
        </w:rPr>
        <w:drawing>
          <wp:inline distT="0" distB="0" distL="0" distR="0" wp14:anchorId="04320335" wp14:editId="46794422">
            <wp:extent cx="5661660" cy="2600325"/>
            <wp:effectExtent l="0" t="0" r="15240" b="9525"/>
            <wp:docPr id="377078297" name="Chart 1" descr="Bar chart showing the percentage of staff with a disability">
              <a:extLst xmlns:a="http://schemas.openxmlformats.org/drawingml/2006/main">
                <a:ext uri="{FF2B5EF4-FFF2-40B4-BE49-F238E27FC236}">
                  <a16:creationId xmlns:a16="http://schemas.microsoft.com/office/drawing/2014/main" id="{A2338EE2-F235-46FB-B752-9083517D85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D73CA3" w14:textId="4175DBFE" w:rsidR="00C723D7" w:rsidRDefault="00C723D7" w:rsidP="000F504B">
      <w:pPr>
        <w:ind w:left="0"/>
        <w:jc w:val="both"/>
        <w:rPr>
          <w:rFonts w:ascii="Calibri" w:hAnsi="Calibri" w:cs="Calibri"/>
        </w:rPr>
      </w:pPr>
    </w:p>
    <w:p w14:paraId="073E82ED" w14:textId="63D90F7E" w:rsidR="009C5CDC" w:rsidRDefault="009C5CDC" w:rsidP="009C5CDC">
      <w:pPr>
        <w:pStyle w:val="NormalWeb"/>
        <w:spacing w:before="0" w:beforeAutospacing="0" w:after="0" w:afterAutospacing="0"/>
        <w:ind w:left="-340"/>
        <w:rPr>
          <w:rFonts w:ascii="Arial" w:hAnsi="Arial" w:cs="Arial"/>
          <w:b/>
          <w:bCs/>
        </w:rPr>
      </w:pPr>
      <w:r>
        <w:rPr>
          <w:rFonts w:ascii="Calibri" w:hAnsi="Calibri" w:cs="Calibri"/>
        </w:rPr>
        <w:t xml:space="preserve">6.5   </w:t>
      </w:r>
      <w:r w:rsidRPr="00B6554A">
        <w:rPr>
          <w:rFonts w:ascii="Arial" w:hAnsi="Arial" w:cs="Arial"/>
          <w:b/>
          <w:bCs/>
        </w:rPr>
        <w:t xml:space="preserve">ACTIONS TAKEN </w:t>
      </w:r>
      <w:r>
        <w:rPr>
          <w:rFonts w:ascii="Arial" w:hAnsi="Arial" w:cs="Arial"/>
          <w:b/>
          <w:bCs/>
        </w:rPr>
        <w:t>TO ADDRESS THE</w:t>
      </w:r>
      <w:r w:rsidRPr="00B6554A">
        <w:rPr>
          <w:rFonts w:ascii="Arial" w:hAnsi="Arial" w:cs="Arial"/>
          <w:b/>
          <w:bCs/>
        </w:rPr>
        <w:t xml:space="preserve"> PAY GAP OVER THE LAST TWELVE </w:t>
      </w:r>
      <w:r>
        <w:rPr>
          <w:rFonts w:ascii="Arial" w:hAnsi="Arial" w:cs="Arial"/>
          <w:b/>
          <w:bCs/>
        </w:rPr>
        <w:t xml:space="preserve"> </w:t>
      </w:r>
    </w:p>
    <w:p w14:paraId="04316B35" w14:textId="3DE84FE8" w:rsidR="009C5CDC" w:rsidRPr="00DE45C0" w:rsidRDefault="009C5CDC" w:rsidP="009C5CDC">
      <w:pPr>
        <w:pStyle w:val="NormalWeb"/>
        <w:spacing w:before="0" w:beforeAutospacing="0" w:after="0" w:afterAutospacing="0"/>
        <w:ind w:left="-340"/>
        <w:rPr>
          <w:rFonts w:ascii="Arial" w:hAnsi="Arial" w:cs="Arial"/>
          <w:b/>
          <w:bCs/>
        </w:rPr>
      </w:pPr>
      <w:r>
        <w:rPr>
          <w:rFonts w:ascii="Calibri" w:hAnsi="Calibri" w:cs="Calibri"/>
        </w:rPr>
        <w:t xml:space="preserve">         </w:t>
      </w:r>
      <w:r w:rsidRPr="00B6554A">
        <w:rPr>
          <w:rFonts w:ascii="Arial" w:hAnsi="Arial" w:cs="Arial"/>
          <w:b/>
          <w:bCs/>
        </w:rPr>
        <w:t>MON</w:t>
      </w:r>
      <w:r>
        <w:rPr>
          <w:rFonts w:ascii="Arial" w:hAnsi="Arial" w:cs="Arial"/>
          <w:b/>
          <w:bCs/>
        </w:rPr>
        <w:t>THS</w:t>
      </w:r>
    </w:p>
    <w:p w14:paraId="73B1AA3C" w14:textId="7AE712DD" w:rsidR="009C5CDC" w:rsidRPr="0015495E" w:rsidRDefault="009C5CDC" w:rsidP="00D95EB9">
      <w:pPr>
        <w:pStyle w:val="ListParagraph"/>
        <w:numPr>
          <w:ilvl w:val="0"/>
          <w:numId w:val="36"/>
        </w:numPr>
        <w:spacing w:after="0"/>
        <w:jc w:val="both"/>
        <w:rPr>
          <w:rFonts w:ascii="Calibri" w:hAnsi="Calibri" w:cs="Calibri"/>
        </w:rPr>
      </w:pPr>
      <w:r w:rsidRPr="0015495E">
        <w:rPr>
          <w:rFonts w:ascii="Calibri" w:hAnsi="Calibri" w:cs="Calibri"/>
        </w:rPr>
        <w:t xml:space="preserve">The Trust has continued to implement strategies to reduce </w:t>
      </w:r>
      <w:r w:rsidR="00ED21A7" w:rsidRPr="0015495E">
        <w:rPr>
          <w:rFonts w:ascii="Calibri" w:hAnsi="Calibri" w:cs="Calibri"/>
        </w:rPr>
        <w:t xml:space="preserve">inequality between disabled staff and non-disabled staff </w:t>
      </w:r>
      <w:r w:rsidRPr="0015495E">
        <w:rPr>
          <w:rFonts w:ascii="Calibri" w:hAnsi="Calibri" w:cs="Calibri"/>
        </w:rPr>
        <w:t>through  the Trust’s EDI plan and has undertaken the following activities.</w:t>
      </w:r>
    </w:p>
    <w:p w14:paraId="01DCAA59" w14:textId="4301C01B" w:rsidR="009C5CDC" w:rsidRPr="0015495E" w:rsidRDefault="009C5CDC" w:rsidP="00ED21A7">
      <w:pPr>
        <w:pStyle w:val="ListParagraph"/>
        <w:numPr>
          <w:ilvl w:val="0"/>
          <w:numId w:val="36"/>
        </w:numPr>
        <w:jc w:val="both"/>
        <w:rPr>
          <w:rFonts w:ascii="Calibri" w:hAnsi="Calibri" w:cs="Calibri"/>
        </w:rPr>
      </w:pPr>
      <w:r w:rsidRPr="0015495E">
        <w:rPr>
          <w:rFonts w:ascii="Calibri" w:hAnsi="Calibri" w:cs="Calibri"/>
        </w:rPr>
        <w:t>Through the Inclusive Recruitment Group, the Trust has reviewed its approach to recruitment and selection processes, ensuring the recruitment process is inclusive, fair and equitable</w:t>
      </w:r>
      <w:r w:rsidR="00ED21A7" w:rsidRPr="0015495E">
        <w:rPr>
          <w:rFonts w:ascii="Calibri" w:hAnsi="Calibri" w:cs="Calibri"/>
        </w:rPr>
        <w:t xml:space="preserve"> and works favourably for disabled staff</w:t>
      </w:r>
      <w:r w:rsidR="00BF26AA">
        <w:rPr>
          <w:rFonts w:ascii="Calibri" w:hAnsi="Calibri" w:cs="Calibri"/>
        </w:rPr>
        <w:t>.</w:t>
      </w:r>
    </w:p>
    <w:p w14:paraId="097FD733" w14:textId="44065BEF" w:rsidR="009C5CDC" w:rsidRPr="0015495E" w:rsidRDefault="009C5CDC" w:rsidP="00ED21A7">
      <w:pPr>
        <w:pStyle w:val="ListParagraph"/>
        <w:numPr>
          <w:ilvl w:val="0"/>
          <w:numId w:val="36"/>
        </w:numPr>
        <w:jc w:val="both"/>
        <w:rPr>
          <w:rFonts w:ascii="Calibri" w:hAnsi="Calibri" w:cs="Calibri"/>
        </w:rPr>
      </w:pPr>
      <w:r w:rsidRPr="0015495E">
        <w:rPr>
          <w:rFonts w:ascii="Calibri" w:hAnsi="Calibri" w:cs="Calibri"/>
        </w:rPr>
        <w:t xml:space="preserve">colleagues </w:t>
      </w:r>
      <w:r w:rsidR="00ED21A7" w:rsidRPr="0015495E">
        <w:rPr>
          <w:rFonts w:ascii="Calibri" w:hAnsi="Calibri" w:cs="Calibri"/>
        </w:rPr>
        <w:t xml:space="preserve">with a disability or long-term condition </w:t>
      </w:r>
      <w:r w:rsidRPr="0015495E">
        <w:rPr>
          <w:rFonts w:ascii="Calibri" w:hAnsi="Calibri" w:cs="Calibri"/>
        </w:rPr>
        <w:t>are guaranteed an interview if they meet the essential criteria for a role</w:t>
      </w:r>
      <w:r w:rsidR="00BF26AA">
        <w:rPr>
          <w:rFonts w:ascii="Calibri" w:hAnsi="Calibri" w:cs="Calibri"/>
        </w:rPr>
        <w:t>,</w:t>
      </w:r>
    </w:p>
    <w:p w14:paraId="086F8238" w14:textId="299B5E95" w:rsidR="009C5CDC" w:rsidRPr="0015495E" w:rsidRDefault="009C5CDC" w:rsidP="00ED21A7">
      <w:pPr>
        <w:pStyle w:val="ListParagraph"/>
        <w:numPr>
          <w:ilvl w:val="0"/>
          <w:numId w:val="36"/>
        </w:numPr>
        <w:jc w:val="both"/>
        <w:rPr>
          <w:rFonts w:ascii="Calibri" w:hAnsi="Calibri" w:cs="Calibri"/>
        </w:rPr>
      </w:pPr>
      <w:r w:rsidRPr="0015495E">
        <w:rPr>
          <w:rFonts w:ascii="Calibri" w:hAnsi="Calibri" w:cs="Calibri"/>
        </w:rPr>
        <w:t>Launched a revised inclusive recruitment training programme for recruiting managers, raising awareness of bias and discrimination in recruitment linked to the W</w:t>
      </w:r>
      <w:r w:rsidR="00ED21A7" w:rsidRPr="0015495E">
        <w:rPr>
          <w:rFonts w:ascii="Calibri" w:hAnsi="Calibri" w:cs="Calibri"/>
        </w:rPr>
        <w:t>DES</w:t>
      </w:r>
      <w:r w:rsidRPr="0015495E">
        <w:rPr>
          <w:rFonts w:ascii="Calibri" w:hAnsi="Calibri" w:cs="Calibri"/>
        </w:rPr>
        <w:t xml:space="preserve"> data</w:t>
      </w:r>
    </w:p>
    <w:p w14:paraId="38E35BC7" w14:textId="0422BF02" w:rsidR="009C5CDC" w:rsidRPr="0015495E" w:rsidRDefault="009C5CDC" w:rsidP="00ED21A7">
      <w:pPr>
        <w:pStyle w:val="ListParagraph"/>
        <w:numPr>
          <w:ilvl w:val="0"/>
          <w:numId w:val="36"/>
        </w:numPr>
        <w:jc w:val="both"/>
        <w:rPr>
          <w:rFonts w:ascii="Calibri" w:hAnsi="Calibri" w:cs="Calibri"/>
        </w:rPr>
      </w:pPr>
      <w:r w:rsidRPr="0015495E">
        <w:rPr>
          <w:rFonts w:ascii="Calibri" w:hAnsi="Calibri" w:cs="Calibri"/>
        </w:rPr>
        <w:t xml:space="preserve">Carried out a review of the </w:t>
      </w:r>
      <w:r w:rsidR="00ED21A7" w:rsidRPr="0015495E">
        <w:rPr>
          <w:rFonts w:ascii="Calibri" w:hAnsi="Calibri" w:cs="Calibri"/>
        </w:rPr>
        <w:t xml:space="preserve">recruitment and selection </w:t>
      </w:r>
      <w:r w:rsidRPr="0015495E">
        <w:rPr>
          <w:rFonts w:ascii="Calibri" w:hAnsi="Calibri" w:cs="Calibri"/>
        </w:rPr>
        <w:t>process with a view to improving</w:t>
      </w:r>
      <w:r w:rsidR="00ED21A7" w:rsidRPr="0015495E">
        <w:rPr>
          <w:rFonts w:ascii="Calibri" w:hAnsi="Calibri" w:cs="Calibri"/>
        </w:rPr>
        <w:t xml:space="preserve"> disability</w:t>
      </w:r>
      <w:r w:rsidRPr="0015495E">
        <w:rPr>
          <w:rFonts w:ascii="Calibri" w:hAnsi="Calibri" w:cs="Calibri"/>
        </w:rPr>
        <w:t xml:space="preserve"> representation on recruitment panels</w:t>
      </w:r>
      <w:r w:rsidR="00BF26AA">
        <w:rPr>
          <w:rFonts w:ascii="Calibri" w:hAnsi="Calibri" w:cs="Calibri"/>
        </w:rPr>
        <w:t>.</w:t>
      </w:r>
    </w:p>
    <w:p w14:paraId="3B02AF7A" w14:textId="3533B54F" w:rsidR="00ED21A7" w:rsidRPr="0015495E" w:rsidRDefault="009C5CDC" w:rsidP="00ED21A7">
      <w:pPr>
        <w:pStyle w:val="ListParagraph"/>
        <w:numPr>
          <w:ilvl w:val="0"/>
          <w:numId w:val="36"/>
        </w:numPr>
        <w:jc w:val="both"/>
        <w:rPr>
          <w:rFonts w:ascii="Calibri" w:hAnsi="Calibri" w:cs="Calibri"/>
        </w:rPr>
      </w:pPr>
      <w:r w:rsidRPr="0015495E">
        <w:rPr>
          <w:rFonts w:ascii="Calibri" w:hAnsi="Calibri" w:cs="Calibri"/>
        </w:rPr>
        <w:lastRenderedPageBreak/>
        <w:t xml:space="preserve">Worked with the </w:t>
      </w:r>
      <w:r w:rsidR="00ED21A7" w:rsidRPr="0015495E">
        <w:rPr>
          <w:rFonts w:ascii="Calibri" w:hAnsi="Calibri" w:cs="Calibri"/>
        </w:rPr>
        <w:t xml:space="preserve">Disability and </w:t>
      </w:r>
      <w:r w:rsidR="001D7628" w:rsidRPr="0015495E">
        <w:rPr>
          <w:rFonts w:ascii="Calibri" w:hAnsi="Calibri" w:cs="Calibri"/>
        </w:rPr>
        <w:t>Long-Term</w:t>
      </w:r>
      <w:r w:rsidR="00ED21A7" w:rsidRPr="0015495E">
        <w:rPr>
          <w:rFonts w:ascii="Calibri" w:hAnsi="Calibri" w:cs="Calibri"/>
        </w:rPr>
        <w:t xml:space="preserve"> conditions</w:t>
      </w:r>
      <w:r w:rsidRPr="0015495E">
        <w:rPr>
          <w:rFonts w:ascii="Calibri" w:hAnsi="Calibri" w:cs="Calibri"/>
        </w:rPr>
        <w:t xml:space="preserve"> Network to understand the barriers and challenges to progression within the Trust and used the feedback to support improvements</w:t>
      </w:r>
      <w:r w:rsidR="00BF26AA">
        <w:rPr>
          <w:rFonts w:ascii="Calibri" w:hAnsi="Calibri" w:cs="Calibri"/>
        </w:rPr>
        <w:t>.</w:t>
      </w:r>
    </w:p>
    <w:p w14:paraId="3469F5E1" w14:textId="1BBF67F3" w:rsidR="00441304" w:rsidRPr="0015495E" w:rsidRDefault="00441304" w:rsidP="00ED21A7">
      <w:pPr>
        <w:pStyle w:val="ListParagraph"/>
        <w:numPr>
          <w:ilvl w:val="0"/>
          <w:numId w:val="36"/>
        </w:numPr>
        <w:jc w:val="both"/>
        <w:rPr>
          <w:rFonts w:ascii="Calibri" w:hAnsi="Calibri" w:cs="Calibri"/>
        </w:rPr>
      </w:pPr>
      <w:r w:rsidRPr="0015495E">
        <w:rPr>
          <w:rFonts w:ascii="Calibri" w:hAnsi="Calibri" w:cs="Calibri"/>
        </w:rPr>
        <w:t xml:space="preserve">Developed a disability health passport and guidelines to support staff with a disability or </w:t>
      </w:r>
      <w:r w:rsidR="00B40999">
        <w:rPr>
          <w:rFonts w:ascii="Calibri" w:hAnsi="Calibri" w:cs="Calibri"/>
        </w:rPr>
        <w:t>long-term</w:t>
      </w:r>
      <w:r w:rsidRPr="0015495E">
        <w:rPr>
          <w:rFonts w:ascii="Calibri" w:hAnsi="Calibri" w:cs="Calibri"/>
        </w:rPr>
        <w:t xml:space="preserve"> health condition</w:t>
      </w:r>
      <w:r w:rsidR="00BF26AA">
        <w:rPr>
          <w:rFonts w:ascii="Calibri" w:hAnsi="Calibri" w:cs="Calibri"/>
        </w:rPr>
        <w:t>.</w:t>
      </w:r>
    </w:p>
    <w:p w14:paraId="57E38267" w14:textId="4444A966" w:rsidR="00D95EB9" w:rsidRPr="0015495E" w:rsidRDefault="009C5CDC" w:rsidP="00D95EB9">
      <w:pPr>
        <w:pStyle w:val="ListParagraph"/>
        <w:numPr>
          <w:ilvl w:val="0"/>
          <w:numId w:val="36"/>
        </w:numPr>
        <w:jc w:val="both"/>
        <w:rPr>
          <w:rFonts w:ascii="Calibri" w:hAnsi="Calibri" w:cs="Calibri"/>
        </w:rPr>
      </w:pPr>
      <w:r w:rsidRPr="0015495E">
        <w:rPr>
          <w:rFonts w:ascii="Calibri" w:hAnsi="Calibri" w:cs="Calibri"/>
        </w:rPr>
        <w:t>Employability programmes and career fairs targe</w:t>
      </w:r>
      <w:r w:rsidR="00ED21A7" w:rsidRPr="0015495E">
        <w:rPr>
          <w:rFonts w:ascii="Calibri" w:hAnsi="Calibri" w:cs="Calibri"/>
        </w:rPr>
        <w:t xml:space="preserve">ting neurodiverse and disabled </w:t>
      </w:r>
    </w:p>
    <w:p w14:paraId="0E4F3459" w14:textId="19039D5C" w:rsidR="00441304" w:rsidRPr="0015495E" w:rsidRDefault="00ED21A7" w:rsidP="00BF26AA">
      <w:pPr>
        <w:pStyle w:val="ListParagraph"/>
        <w:jc w:val="both"/>
        <w:rPr>
          <w:rFonts w:ascii="Calibri" w:hAnsi="Calibri" w:cs="Calibri"/>
        </w:rPr>
      </w:pPr>
      <w:r w:rsidRPr="0015495E">
        <w:rPr>
          <w:rFonts w:ascii="Calibri" w:hAnsi="Calibri" w:cs="Calibri"/>
        </w:rPr>
        <w:t>colleagues.</w:t>
      </w:r>
    </w:p>
    <w:p w14:paraId="445ADEE4" w14:textId="14CD50C6" w:rsidR="00095B3A" w:rsidRPr="001D7628" w:rsidRDefault="00095B3A" w:rsidP="006945F6">
      <w:pPr>
        <w:ind w:left="-567"/>
        <w:jc w:val="both"/>
        <w:rPr>
          <w:rFonts w:ascii="Calibri" w:hAnsi="Calibri" w:cs="Calibri"/>
        </w:rPr>
      </w:pPr>
      <w:r w:rsidRPr="001D7628">
        <w:rPr>
          <w:rFonts w:ascii="Calibri" w:hAnsi="Calibri" w:cs="Calibri"/>
        </w:rPr>
        <w:t>6.6</w:t>
      </w:r>
      <w:r>
        <w:rPr>
          <w:rFonts w:ascii="Arial" w:hAnsi="Arial" w:cs="Arial"/>
        </w:rPr>
        <w:t xml:space="preserve">  </w:t>
      </w:r>
      <w:r w:rsidR="006945F6">
        <w:rPr>
          <w:rFonts w:ascii="Arial" w:hAnsi="Arial" w:cs="Arial"/>
        </w:rPr>
        <w:t xml:space="preserve"> </w:t>
      </w:r>
      <w:r w:rsidRPr="001D7628">
        <w:rPr>
          <w:rFonts w:ascii="Calibri" w:hAnsi="Calibri" w:cs="Calibri"/>
        </w:rPr>
        <w:t>The table below sets out planned actions to reduce our gender pay gap.</w:t>
      </w:r>
    </w:p>
    <w:tbl>
      <w:tblPr>
        <w:tblW w:w="9634" w:type="dxa"/>
        <w:tblCellMar>
          <w:left w:w="10" w:type="dxa"/>
          <w:right w:w="10" w:type="dxa"/>
        </w:tblCellMar>
        <w:tblLook w:val="04A0" w:firstRow="1" w:lastRow="0" w:firstColumn="1" w:lastColumn="0" w:noHBand="0" w:noVBand="1"/>
      </w:tblPr>
      <w:tblGrid>
        <w:gridCol w:w="609"/>
        <w:gridCol w:w="6419"/>
        <w:gridCol w:w="1190"/>
        <w:gridCol w:w="1416"/>
      </w:tblGrid>
      <w:tr w:rsidR="001D7628" w:rsidRPr="001D7628" w14:paraId="6E75C8AB" w14:textId="77777777" w:rsidTr="00FD7AB6">
        <w:trPr>
          <w:trHeight w:val="272"/>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5BCCC" w14:textId="77777777" w:rsidR="00095B3A" w:rsidRPr="001D7628" w:rsidRDefault="00095B3A" w:rsidP="00FD7AB6">
            <w:pPr>
              <w:spacing w:after="0"/>
              <w:rPr>
                <w:rFonts w:ascii="Calibri" w:hAnsi="Calibri" w:cs="Calibri"/>
                <w:b/>
                <w:bCs/>
              </w:rPr>
            </w:pPr>
            <w:r w:rsidRPr="001D7628">
              <w:rPr>
                <w:rFonts w:ascii="Calibri" w:hAnsi="Calibri" w:cs="Calibri"/>
                <w:b/>
                <w:bCs/>
              </w:rPr>
              <w:t>No.</w:t>
            </w:r>
          </w:p>
        </w:tc>
        <w:tc>
          <w:tcPr>
            <w:tcW w:w="6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D47F" w14:textId="77777777" w:rsidR="00095B3A" w:rsidRPr="001D7628" w:rsidRDefault="00095B3A" w:rsidP="00FD7AB6">
            <w:pPr>
              <w:spacing w:after="0"/>
              <w:rPr>
                <w:rFonts w:ascii="Calibri" w:hAnsi="Calibri" w:cs="Calibri"/>
                <w:b/>
                <w:bCs/>
              </w:rPr>
            </w:pPr>
            <w:r w:rsidRPr="001D7628">
              <w:rPr>
                <w:rFonts w:ascii="Calibri" w:hAnsi="Calibri" w:cs="Calibri"/>
                <w:b/>
                <w:bCs/>
              </w:rPr>
              <w:t>Action</w:t>
            </w:r>
          </w:p>
          <w:p w14:paraId="428CE5AD" w14:textId="77777777" w:rsidR="00095B3A" w:rsidRPr="001D7628" w:rsidRDefault="00095B3A" w:rsidP="00FD7AB6">
            <w:pPr>
              <w:spacing w:after="0"/>
              <w:rPr>
                <w:rFonts w:ascii="Calibri" w:hAnsi="Calibri" w:cs="Calibri"/>
                <w:b/>
                <w:bCs/>
              </w:rPr>
            </w:pP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3FA03" w14:textId="77777777" w:rsidR="00095B3A" w:rsidRPr="001D7628" w:rsidRDefault="00095B3A" w:rsidP="00FD7AB6">
            <w:pPr>
              <w:spacing w:after="0"/>
              <w:rPr>
                <w:rFonts w:ascii="Calibri" w:hAnsi="Calibri" w:cs="Calibri"/>
                <w:b/>
                <w:bCs/>
              </w:rPr>
            </w:pPr>
            <w:r w:rsidRPr="001D7628">
              <w:rPr>
                <w:rFonts w:ascii="Calibri" w:hAnsi="Calibri" w:cs="Calibri"/>
                <w:b/>
                <w:bCs/>
              </w:rPr>
              <w:t>When</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B0899" w14:textId="77777777" w:rsidR="00095B3A" w:rsidRPr="001D7628" w:rsidRDefault="00095B3A" w:rsidP="00FD7AB6">
            <w:pPr>
              <w:spacing w:after="0"/>
              <w:rPr>
                <w:rFonts w:ascii="Calibri" w:hAnsi="Calibri" w:cs="Calibri"/>
                <w:b/>
                <w:bCs/>
              </w:rPr>
            </w:pPr>
            <w:r w:rsidRPr="001D7628">
              <w:rPr>
                <w:rFonts w:ascii="Calibri" w:hAnsi="Calibri" w:cs="Calibri"/>
                <w:b/>
                <w:bCs/>
              </w:rPr>
              <w:t>Review</w:t>
            </w:r>
          </w:p>
        </w:tc>
      </w:tr>
      <w:tr w:rsidR="001D7628" w:rsidRPr="001D7628" w14:paraId="06750FBE" w14:textId="77777777" w:rsidTr="00FD7AB6">
        <w:trPr>
          <w:trHeight w:val="1190"/>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04853" w14:textId="77777777" w:rsidR="00095B3A" w:rsidRPr="001D7628" w:rsidRDefault="00095B3A" w:rsidP="00FD7AB6">
            <w:pPr>
              <w:spacing w:after="0"/>
              <w:rPr>
                <w:rFonts w:ascii="Calibri" w:hAnsi="Calibri" w:cs="Calibri"/>
              </w:rPr>
            </w:pPr>
            <w:r w:rsidRPr="001D7628">
              <w:rPr>
                <w:rFonts w:ascii="Calibri" w:hAnsi="Calibri" w:cs="Calibri"/>
              </w:rPr>
              <w:t>1</w:t>
            </w:r>
          </w:p>
        </w:tc>
        <w:tc>
          <w:tcPr>
            <w:tcW w:w="6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369E7" w14:textId="52E6EBBB" w:rsidR="00095B3A" w:rsidRPr="001D7628" w:rsidRDefault="00095B3A" w:rsidP="00FD7AB6">
            <w:pPr>
              <w:spacing w:after="0"/>
              <w:rPr>
                <w:rFonts w:ascii="Calibri" w:hAnsi="Calibri" w:cs="Calibri"/>
              </w:rPr>
            </w:pPr>
            <w:r w:rsidRPr="001D7628">
              <w:rPr>
                <w:rFonts w:ascii="Calibri" w:hAnsi="Calibri" w:cs="Calibri"/>
              </w:rPr>
              <w:t>Continue to implement actions within the Trust's EDI Plan and NHSE EDI Improvement Plan actions to improve experience and opportunities for all and eliminate pay gaps.</w:t>
            </w:r>
            <w:r w:rsidR="00F9112A">
              <w:rPr>
                <w:rFonts w:ascii="Calibri" w:hAnsi="Calibri" w:cs="Calibri"/>
              </w:rPr>
              <w:t xml:space="preserve"> This includes reducing the </w:t>
            </w:r>
            <w:r w:rsidR="00441304">
              <w:rPr>
                <w:rFonts w:ascii="Calibri" w:hAnsi="Calibri" w:cs="Calibri"/>
              </w:rPr>
              <w:t>% of people that have not shared their disability status on ESR.</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27CE9" w14:textId="498718F7" w:rsidR="00095B3A" w:rsidRPr="001D7628" w:rsidRDefault="00095B3A" w:rsidP="00FD7AB6">
            <w:pPr>
              <w:spacing w:after="0"/>
              <w:rPr>
                <w:rFonts w:ascii="Calibri" w:hAnsi="Calibri" w:cs="Calibri"/>
              </w:rPr>
            </w:pPr>
            <w:r w:rsidRPr="001D7628">
              <w:rPr>
                <w:rFonts w:ascii="Calibri" w:hAnsi="Calibri" w:cs="Calibri"/>
              </w:rPr>
              <w:t>October 25– October 26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EE71D" w14:textId="77777777" w:rsidR="00095B3A" w:rsidRPr="001D7628" w:rsidRDefault="00095B3A" w:rsidP="00FD7AB6">
            <w:pPr>
              <w:spacing w:after="0"/>
              <w:rPr>
                <w:rFonts w:ascii="Calibri" w:hAnsi="Calibri" w:cs="Calibri"/>
              </w:rPr>
            </w:pPr>
            <w:r w:rsidRPr="001D7628">
              <w:rPr>
                <w:rFonts w:ascii="Calibri" w:hAnsi="Calibri" w:cs="Calibri"/>
              </w:rPr>
              <w:t>Bi-monthly</w:t>
            </w:r>
          </w:p>
        </w:tc>
      </w:tr>
      <w:tr w:rsidR="001D7628" w:rsidRPr="001D7628" w14:paraId="37E715E9" w14:textId="77777777" w:rsidTr="00FD7AB6">
        <w:trPr>
          <w:trHeight w:val="1343"/>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99515" w14:textId="77777777" w:rsidR="00095B3A" w:rsidRPr="001D7628" w:rsidRDefault="00095B3A" w:rsidP="00FD7AB6">
            <w:pPr>
              <w:spacing w:after="0"/>
              <w:rPr>
                <w:rFonts w:ascii="Calibri" w:hAnsi="Calibri" w:cs="Calibri"/>
              </w:rPr>
            </w:pPr>
            <w:r w:rsidRPr="001D7628">
              <w:rPr>
                <w:rFonts w:ascii="Calibri" w:hAnsi="Calibri" w:cs="Calibri"/>
              </w:rPr>
              <w:t>2</w:t>
            </w:r>
          </w:p>
        </w:tc>
        <w:tc>
          <w:tcPr>
            <w:tcW w:w="6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93526" w14:textId="0D6815FF" w:rsidR="00095B3A" w:rsidRPr="001D7628" w:rsidRDefault="00095B3A" w:rsidP="00FD7AB6">
            <w:pPr>
              <w:spacing w:after="0"/>
              <w:rPr>
                <w:rFonts w:ascii="Calibri" w:hAnsi="Calibri" w:cs="Calibri"/>
              </w:rPr>
            </w:pPr>
            <w:r w:rsidRPr="001D7628">
              <w:rPr>
                <w:rFonts w:ascii="Calibri" w:hAnsi="Calibri" w:cs="Calibri"/>
              </w:rPr>
              <w:t>Continue the work to grow and strengthen our staff       networks to ensure they provide rich and deep               engagement across all protected characteristics, to provide a voice within the organisation of lived experience and insight</w:t>
            </w:r>
            <w:r w:rsidR="00CE3C81" w:rsidRPr="001D7628">
              <w:rPr>
                <w:rFonts w:ascii="Calibri" w:hAnsi="Calibri" w:cs="Calibri"/>
              </w:rPr>
              <w:t xml:space="preserve">s into what more we can do to reduce pay gaps to ensure Sandwell and West Birmingham is </w:t>
            </w:r>
            <w:r w:rsidRPr="001D7628">
              <w:rPr>
                <w:rFonts w:ascii="Calibri" w:hAnsi="Calibri" w:cs="Calibri"/>
              </w:rPr>
              <w:t>more inclusive for everyone.</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8C992" w14:textId="3289B9F5" w:rsidR="00095B3A" w:rsidRPr="001D7628" w:rsidRDefault="00095B3A" w:rsidP="00FD7AB6">
            <w:pPr>
              <w:spacing w:after="0"/>
              <w:rPr>
                <w:rFonts w:ascii="Calibri" w:hAnsi="Calibri" w:cs="Calibri"/>
              </w:rPr>
            </w:pPr>
            <w:r w:rsidRPr="001D7628">
              <w:rPr>
                <w:rFonts w:ascii="Calibri" w:hAnsi="Calibri" w:cs="Calibri"/>
              </w:rPr>
              <w:t>October 2025 – October 26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9CCEB" w14:textId="77777777" w:rsidR="00095B3A" w:rsidRPr="001D7628" w:rsidRDefault="00095B3A" w:rsidP="00FD7AB6">
            <w:pPr>
              <w:spacing w:after="0"/>
              <w:rPr>
                <w:rFonts w:ascii="Calibri" w:hAnsi="Calibri" w:cs="Calibri"/>
              </w:rPr>
            </w:pPr>
            <w:r w:rsidRPr="001D7628">
              <w:rPr>
                <w:rFonts w:ascii="Calibri" w:hAnsi="Calibri" w:cs="Calibri"/>
              </w:rPr>
              <w:t>Annually</w:t>
            </w:r>
          </w:p>
        </w:tc>
      </w:tr>
      <w:tr w:rsidR="001D7628" w:rsidRPr="001D7628" w14:paraId="600D3018" w14:textId="77777777" w:rsidTr="00FD7AB6">
        <w:trPr>
          <w:trHeight w:val="816"/>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04A83" w14:textId="77777777" w:rsidR="00095B3A" w:rsidRPr="001D7628" w:rsidRDefault="00095B3A" w:rsidP="00FD7AB6">
            <w:pPr>
              <w:spacing w:after="0"/>
              <w:rPr>
                <w:rFonts w:ascii="Calibri" w:hAnsi="Calibri" w:cs="Calibri"/>
              </w:rPr>
            </w:pPr>
            <w:r w:rsidRPr="001D7628">
              <w:rPr>
                <w:rFonts w:ascii="Calibri" w:hAnsi="Calibri" w:cs="Calibri"/>
              </w:rPr>
              <w:t>3</w:t>
            </w:r>
          </w:p>
        </w:tc>
        <w:tc>
          <w:tcPr>
            <w:tcW w:w="6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74647" w14:textId="5F993B06" w:rsidR="00095B3A" w:rsidRPr="001D7628" w:rsidRDefault="00095B3A" w:rsidP="00FD7AB6">
            <w:pPr>
              <w:spacing w:after="0"/>
              <w:rPr>
                <w:rFonts w:ascii="Calibri" w:hAnsi="Calibri" w:cs="Calibri"/>
              </w:rPr>
            </w:pPr>
            <w:r w:rsidRPr="001D7628">
              <w:rPr>
                <w:rFonts w:ascii="Calibri" w:hAnsi="Calibri" w:cs="Calibri"/>
              </w:rPr>
              <w:t>Continue to work with leadership teams in areas where the</w:t>
            </w:r>
            <w:r w:rsidR="00CE3C81" w:rsidRPr="001D7628">
              <w:rPr>
                <w:rFonts w:ascii="Calibri" w:hAnsi="Calibri" w:cs="Calibri"/>
              </w:rPr>
              <w:t xml:space="preserve"> </w:t>
            </w:r>
            <w:r w:rsidRPr="001D7628">
              <w:rPr>
                <w:rFonts w:ascii="Calibri" w:hAnsi="Calibri" w:cs="Calibri"/>
              </w:rPr>
              <w:t>pay gap is driven to improve staff experience and provide opportunities for women</w:t>
            </w:r>
            <w:r w:rsidR="00CE3C81" w:rsidRPr="001D7628">
              <w:rPr>
                <w:rFonts w:ascii="Calibri" w:hAnsi="Calibri" w:cs="Calibri"/>
              </w:rPr>
              <w:t>, ethnic minority staff and staff with a disability /</w:t>
            </w:r>
            <w:r w:rsidR="006945F6" w:rsidRPr="001D7628">
              <w:rPr>
                <w:rFonts w:ascii="Calibri" w:hAnsi="Calibri" w:cs="Calibri"/>
              </w:rPr>
              <w:t>long-term</w:t>
            </w:r>
            <w:r w:rsidR="00CE3C81" w:rsidRPr="001D7628">
              <w:rPr>
                <w:rFonts w:ascii="Calibri" w:hAnsi="Calibri" w:cs="Calibri"/>
              </w:rPr>
              <w:t xml:space="preserve"> condition</w:t>
            </w:r>
            <w:r w:rsidRPr="001D7628">
              <w:rPr>
                <w:rFonts w:ascii="Calibri" w:hAnsi="Calibri" w:cs="Calibri"/>
              </w:rPr>
              <w:t xml:space="preserve"> to </w:t>
            </w:r>
            <w:r w:rsidR="00CE3C81" w:rsidRPr="001D7628">
              <w:rPr>
                <w:rFonts w:ascii="Calibri" w:hAnsi="Calibri" w:cs="Calibri"/>
              </w:rPr>
              <w:t>progress in their careers. Focus</w:t>
            </w:r>
            <w:r w:rsidRPr="001D7628">
              <w:rPr>
                <w:rFonts w:ascii="Calibri" w:hAnsi="Calibri" w:cs="Calibri"/>
              </w:rPr>
              <w:t xml:space="preserve"> on flexible working options and development opportunities identified at career conversations through our appraisal process. </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FDE98" w14:textId="117752C5" w:rsidR="00095B3A" w:rsidRPr="001D7628" w:rsidRDefault="00095B3A" w:rsidP="00FD7AB6">
            <w:pPr>
              <w:spacing w:after="0"/>
              <w:rPr>
                <w:rFonts w:ascii="Calibri" w:hAnsi="Calibri" w:cs="Calibri"/>
              </w:rPr>
            </w:pPr>
            <w:r w:rsidRPr="001D7628">
              <w:rPr>
                <w:rFonts w:ascii="Calibri" w:hAnsi="Calibri" w:cs="Calibri"/>
              </w:rPr>
              <w:t xml:space="preserve">October 25-October 26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B4E08" w14:textId="77777777" w:rsidR="00095B3A" w:rsidRPr="001D7628" w:rsidRDefault="00095B3A" w:rsidP="00FD7AB6">
            <w:pPr>
              <w:spacing w:after="0"/>
              <w:rPr>
                <w:rFonts w:ascii="Calibri" w:hAnsi="Calibri" w:cs="Calibri"/>
              </w:rPr>
            </w:pPr>
            <w:r w:rsidRPr="001D7628">
              <w:rPr>
                <w:rFonts w:ascii="Calibri" w:hAnsi="Calibri" w:cs="Calibri"/>
              </w:rPr>
              <w:t>Annually</w:t>
            </w:r>
          </w:p>
        </w:tc>
      </w:tr>
      <w:tr w:rsidR="001D7628" w:rsidRPr="001D7628" w14:paraId="7B5460F6" w14:textId="77777777" w:rsidTr="00FD7AB6">
        <w:trPr>
          <w:trHeight w:val="1088"/>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AE27B" w14:textId="77777777" w:rsidR="00095B3A" w:rsidRPr="001D7628" w:rsidRDefault="00095B3A" w:rsidP="00FD7AB6">
            <w:pPr>
              <w:spacing w:after="0"/>
              <w:rPr>
                <w:rFonts w:ascii="Calibri" w:hAnsi="Calibri" w:cs="Calibri"/>
              </w:rPr>
            </w:pPr>
            <w:r w:rsidRPr="001D7628">
              <w:rPr>
                <w:rFonts w:ascii="Calibri" w:hAnsi="Calibri" w:cs="Calibri"/>
              </w:rPr>
              <w:t>4</w:t>
            </w:r>
          </w:p>
        </w:tc>
        <w:tc>
          <w:tcPr>
            <w:tcW w:w="6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F79C0" w14:textId="149DB7E0" w:rsidR="00095B3A" w:rsidRPr="001D7628" w:rsidRDefault="00095B3A" w:rsidP="00FD7AB6">
            <w:pPr>
              <w:spacing w:after="0"/>
              <w:rPr>
                <w:rFonts w:ascii="Calibri" w:hAnsi="Calibri" w:cs="Calibri"/>
              </w:rPr>
            </w:pPr>
            <w:r w:rsidRPr="001D7628">
              <w:rPr>
                <w:rFonts w:ascii="Calibri" w:hAnsi="Calibri" w:cs="Calibri"/>
              </w:rPr>
              <w:t xml:space="preserve">Continue to work with local Trusts to </w:t>
            </w:r>
            <w:r w:rsidR="00CE3C81" w:rsidRPr="001D7628">
              <w:rPr>
                <w:rFonts w:ascii="Calibri" w:hAnsi="Calibri" w:cs="Calibri"/>
              </w:rPr>
              <w:t xml:space="preserve">explore the </w:t>
            </w:r>
            <w:r w:rsidRPr="001D7628">
              <w:rPr>
                <w:rFonts w:ascii="Calibri" w:hAnsi="Calibri" w:cs="Calibri"/>
              </w:rPr>
              <w:t xml:space="preserve">opportunity to access vacancies and build a sustainable and representative workforce within </w:t>
            </w:r>
            <w:r w:rsidR="00CE3C81" w:rsidRPr="001D7628">
              <w:rPr>
                <w:rFonts w:ascii="Calibri" w:hAnsi="Calibri" w:cs="Calibri"/>
              </w:rPr>
              <w:t>Sandwell and West Birmingham NHS Trust</w:t>
            </w:r>
            <w:r w:rsidRPr="001D7628">
              <w:rPr>
                <w:rFonts w:ascii="Calibri" w:hAnsi="Calibri" w:cs="Calibri"/>
              </w:rPr>
              <w:t xml:space="preserve">. </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E9856" w14:textId="13E03D41" w:rsidR="00095B3A" w:rsidRPr="001D7628" w:rsidRDefault="00CE3C81" w:rsidP="00FD7AB6">
            <w:pPr>
              <w:spacing w:after="0"/>
              <w:rPr>
                <w:rFonts w:ascii="Calibri" w:hAnsi="Calibri" w:cs="Calibri"/>
              </w:rPr>
            </w:pPr>
            <w:r w:rsidRPr="001D7628">
              <w:rPr>
                <w:rFonts w:ascii="Calibri" w:hAnsi="Calibri" w:cs="Calibri"/>
              </w:rPr>
              <w:t>October</w:t>
            </w:r>
            <w:r w:rsidR="00095B3A" w:rsidRPr="001D7628">
              <w:rPr>
                <w:rFonts w:ascii="Calibri" w:hAnsi="Calibri" w:cs="Calibri"/>
              </w:rPr>
              <w:t xml:space="preserve"> 2</w:t>
            </w:r>
            <w:r w:rsidRPr="001D7628">
              <w:rPr>
                <w:rFonts w:ascii="Calibri" w:hAnsi="Calibri" w:cs="Calibri"/>
              </w:rPr>
              <w:t xml:space="preserve">5- </w:t>
            </w:r>
            <w:r w:rsidR="001D7628">
              <w:rPr>
                <w:rFonts w:ascii="Calibri" w:hAnsi="Calibri" w:cs="Calibri"/>
              </w:rPr>
              <w:t>March 26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6F011" w14:textId="06AA5422" w:rsidR="00095B3A" w:rsidRPr="001D7628" w:rsidRDefault="00095B3A" w:rsidP="00FD7AB6">
            <w:pPr>
              <w:spacing w:after="0"/>
              <w:rPr>
                <w:rFonts w:ascii="Calibri" w:hAnsi="Calibri" w:cs="Calibri"/>
              </w:rPr>
            </w:pPr>
            <w:r w:rsidRPr="001D7628">
              <w:rPr>
                <w:rFonts w:ascii="Calibri" w:hAnsi="Calibri" w:cs="Calibri"/>
              </w:rPr>
              <w:t>Quarterly</w:t>
            </w:r>
            <w:r w:rsidR="001D7628">
              <w:rPr>
                <w:rFonts w:ascii="Calibri" w:hAnsi="Calibri" w:cs="Calibri"/>
              </w:rPr>
              <w:t xml:space="preserve"> reviews</w:t>
            </w:r>
          </w:p>
        </w:tc>
      </w:tr>
      <w:tr w:rsidR="001D7628" w:rsidRPr="001D7628" w14:paraId="5D9BC73E" w14:textId="77777777" w:rsidTr="00FD7AB6">
        <w:trPr>
          <w:trHeight w:val="527"/>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8C4AF" w14:textId="77777777" w:rsidR="00095B3A" w:rsidRPr="001D7628" w:rsidRDefault="00095B3A" w:rsidP="00FD7AB6">
            <w:pPr>
              <w:spacing w:after="0"/>
              <w:rPr>
                <w:rFonts w:ascii="Calibri" w:hAnsi="Calibri" w:cs="Calibri"/>
              </w:rPr>
            </w:pPr>
            <w:r w:rsidRPr="001D7628">
              <w:rPr>
                <w:rFonts w:ascii="Calibri" w:hAnsi="Calibri" w:cs="Calibri"/>
              </w:rPr>
              <w:t>5</w:t>
            </w:r>
          </w:p>
        </w:tc>
        <w:tc>
          <w:tcPr>
            <w:tcW w:w="6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6F94" w14:textId="0C5EB9C6" w:rsidR="00095B3A" w:rsidRPr="001D7628" w:rsidRDefault="00095B3A" w:rsidP="00FD7AB6">
            <w:pPr>
              <w:spacing w:after="0"/>
              <w:rPr>
                <w:rFonts w:ascii="Calibri" w:hAnsi="Calibri" w:cs="Calibri"/>
              </w:rPr>
            </w:pPr>
            <w:r w:rsidRPr="001D7628">
              <w:rPr>
                <w:rFonts w:ascii="Calibri" w:hAnsi="Calibri" w:cs="Calibri"/>
              </w:rPr>
              <w:t>Continue to develop line manager capability</w:t>
            </w:r>
            <w:r w:rsidR="00CE3C81" w:rsidRPr="001D7628">
              <w:rPr>
                <w:rFonts w:ascii="Calibri" w:hAnsi="Calibri" w:cs="Calibri"/>
              </w:rPr>
              <w:t xml:space="preserve"> and capacity </w:t>
            </w:r>
            <w:r w:rsidRPr="001D7628">
              <w:rPr>
                <w:rFonts w:ascii="Calibri" w:hAnsi="Calibri" w:cs="Calibri"/>
              </w:rPr>
              <w:t>in compassionate leadership to support the belonging and retention of colleagues.</w:t>
            </w:r>
            <w:r w:rsidR="00CE3C81" w:rsidRPr="001D7628">
              <w:rPr>
                <w:rFonts w:ascii="Calibri" w:hAnsi="Calibri" w:cs="Calibri"/>
              </w:rPr>
              <w:t xml:space="preserve"> Continue to roll out the ARC Leadership approach and Team Canvass across the organisation.</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B39F1" w14:textId="6EFC920C" w:rsidR="00095B3A" w:rsidRPr="001D7628" w:rsidRDefault="00CE3C81" w:rsidP="00FD7AB6">
            <w:pPr>
              <w:spacing w:after="0"/>
              <w:rPr>
                <w:rFonts w:ascii="Calibri" w:hAnsi="Calibri" w:cs="Calibri"/>
              </w:rPr>
            </w:pPr>
            <w:r w:rsidRPr="001D7628">
              <w:rPr>
                <w:rFonts w:ascii="Calibri" w:hAnsi="Calibri" w:cs="Calibri"/>
              </w:rPr>
              <w:t>October 25</w:t>
            </w:r>
            <w:r w:rsidR="00095B3A" w:rsidRPr="001D7628">
              <w:rPr>
                <w:rFonts w:ascii="Calibri" w:hAnsi="Calibri" w:cs="Calibri"/>
              </w:rPr>
              <w:t xml:space="preserve"> March 26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A765F" w14:textId="4692C52B" w:rsidR="00095B3A" w:rsidRPr="001D7628" w:rsidRDefault="00095B3A" w:rsidP="00FD7AB6">
            <w:pPr>
              <w:spacing w:after="0"/>
              <w:rPr>
                <w:rFonts w:ascii="Calibri" w:hAnsi="Calibri" w:cs="Calibri"/>
              </w:rPr>
            </w:pPr>
            <w:r w:rsidRPr="001D7628">
              <w:rPr>
                <w:rFonts w:ascii="Calibri" w:hAnsi="Calibri" w:cs="Calibri"/>
              </w:rPr>
              <w:t>Quarterly</w:t>
            </w:r>
            <w:r w:rsidR="001D7628">
              <w:rPr>
                <w:rFonts w:ascii="Calibri" w:hAnsi="Calibri" w:cs="Calibri"/>
              </w:rPr>
              <w:t xml:space="preserve"> reviews</w:t>
            </w:r>
            <w:r w:rsidRPr="001D7628">
              <w:rPr>
                <w:rFonts w:ascii="Calibri" w:hAnsi="Calibri" w:cs="Calibri"/>
              </w:rPr>
              <w:t xml:space="preserve"> </w:t>
            </w:r>
          </w:p>
        </w:tc>
      </w:tr>
      <w:tr w:rsidR="001D7628" w:rsidRPr="001D7628" w14:paraId="31661CE6" w14:textId="77777777" w:rsidTr="00FD7AB6">
        <w:trPr>
          <w:trHeight w:val="527"/>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78039" w14:textId="77777777" w:rsidR="00095B3A" w:rsidRPr="001D7628" w:rsidRDefault="00095B3A" w:rsidP="00FD7AB6">
            <w:pPr>
              <w:spacing w:after="0"/>
              <w:rPr>
                <w:rFonts w:ascii="Calibri" w:hAnsi="Calibri" w:cs="Calibri"/>
              </w:rPr>
            </w:pPr>
            <w:r w:rsidRPr="001D7628">
              <w:rPr>
                <w:rFonts w:ascii="Calibri" w:hAnsi="Calibri" w:cs="Calibri"/>
              </w:rPr>
              <w:t>6</w:t>
            </w:r>
          </w:p>
        </w:tc>
        <w:tc>
          <w:tcPr>
            <w:tcW w:w="6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EEE5D" w14:textId="24D34296" w:rsidR="00095B3A" w:rsidRPr="001D7628" w:rsidRDefault="00095B3A" w:rsidP="00FD7AB6">
            <w:pPr>
              <w:spacing w:after="0"/>
              <w:rPr>
                <w:rFonts w:ascii="Calibri" w:hAnsi="Calibri" w:cs="Calibri"/>
              </w:rPr>
            </w:pPr>
            <w:r w:rsidRPr="001D7628">
              <w:rPr>
                <w:rFonts w:ascii="Calibri" w:hAnsi="Calibri" w:cs="Calibri"/>
              </w:rPr>
              <w:t xml:space="preserve">Continue to attend career events and recruitment and            retention events internally and externally to promote              careers within healthcare. Use </w:t>
            </w:r>
            <w:r w:rsidR="00CE3C81" w:rsidRPr="001D7628">
              <w:rPr>
                <w:rFonts w:ascii="Calibri" w:hAnsi="Calibri" w:cs="Calibri"/>
              </w:rPr>
              <w:t xml:space="preserve">staff from ethnic minority backgrounds, staff with a disability and women as part of a promotional campaign for </w:t>
            </w:r>
            <w:r w:rsidRPr="001D7628">
              <w:rPr>
                <w:rFonts w:ascii="Calibri" w:hAnsi="Calibri" w:cs="Calibri"/>
              </w:rPr>
              <w:t>role models</w:t>
            </w:r>
            <w:r w:rsidR="00CE3C81" w:rsidRPr="001D7628">
              <w:rPr>
                <w:rFonts w:ascii="Calibri" w:hAnsi="Calibri" w:cs="Calibri"/>
              </w:rPr>
              <w:t xml:space="preserve"> to</w:t>
            </w:r>
            <w:r w:rsidRPr="001D7628">
              <w:rPr>
                <w:rFonts w:ascii="Calibri" w:hAnsi="Calibri" w:cs="Calibri"/>
              </w:rPr>
              <w:t xml:space="preserve"> promote careers where</w:t>
            </w:r>
            <w:r w:rsidR="00CE3C81" w:rsidRPr="001D7628">
              <w:rPr>
                <w:rFonts w:ascii="Calibri" w:hAnsi="Calibri" w:cs="Calibri"/>
              </w:rPr>
              <w:t xml:space="preserve"> specific groups of staff are </w:t>
            </w:r>
            <w:r w:rsidRPr="001D7628">
              <w:rPr>
                <w:rFonts w:ascii="Calibri" w:hAnsi="Calibri" w:cs="Calibri"/>
              </w:rPr>
              <w:t xml:space="preserve">significantly underrepresented. </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B2F96" w14:textId="12A765BA" w:rsidR="00095B3A" w:rsidRPr="001D7628" w:rsidRDefault="00CE3C81" w:rsidP="00FD7AB6">
            <w:pPr>
              <w:spacing w:after="0"/>
              <w:rPr>
                <w:rFonts w:ascii="Calibri" w:hAnsi="Calibri" w:cs="Calibri"/>
              </w:rPr>
            </w:pPr>
            <w:r w:rsidRPr="001D7628">
              <w:rPr>
                <w:rFonts w:ascii="Calibri" w:hAnsi="Calibri" w:cs="Calibri"/>
              </w:rPr>
              <w:t>October 25-October 26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D8A7A" w14:textId="77777777" w:rsidR="00095B3A" w:rsidRPr="001D7628" w:rsidRDefault="00095B3A" w:rsidP="00FD7AB6">
            <w:pPr>
              <w:spacing w:after="0"/>
              <w:rPr>
                <w:rFonts w:ascii="Calibri" w:hAnsi="Calibri" w:cs="Calibri"/>
              </w:rPr>
            </w:pPr>
            <w:r w:rsidRPr="001D7628">
              <w:rPr>
                <w:rFonts w:ascii="Calibri" w:hAnsi="Calibri" w:cs="Calibri"/>
              </w:rPr>
              <w:t>Annually</w:t>
            </w:r>
          </w:p>
        </w:tc>
      </w:tr>
    </w:tbl>
    <w:p w14:paraId="58342957" w14:textId="4E6F6B91" w:rsidR="00BF26AA" w:rsidRDefault="00BF26AA" w:rsidP="00110736">
      <w:pPr>
        <w:ind w:left="0"/>
        <w:jc w:val="both"/>
        <w:rPr>
          <w:rFonts w:ascii="Calibri" w:hAnsi="Calibri" w:cs="Calibri"/>
          <w:b/>
          <w:bCs/>
        </w:rPr>
      </w:pPr>
    </w:p>
    <w:p w14:paraId="0E69494D" w14:textId="77777777" w:rsidR="00FB4EC5" w:rsidRDefault="00FB4EC5" w:rsidP="00110736">
      <w:pPr>
        <w:ind w:left="0"/>
        <w:jc w:val="both"/>
        <w:rPr>
          <w:rFonts w:ascii="Calibri" w:hAnsi="Calibri" w:cs="Calibri"/>
          <w:b/>
          <w:bCs/>
        </w:rPr>
      </w:pPr>
    </w:p>
    <w:p w14:paraId="15204256" w14:textId="3AB8A239" w:rsidR="00C723D7" w:rsidRPr="0015495E" w:rsidRDefault="00095B3A" w:rsidP="00D95EB9">
      <w:pPr>
        <w:ind w:left="-454"/>
        <w:jc w:val="both"/>
        <w:rPr>
          <w:rFonts w:ascii="Calibri" w:hAnsi="Calibri" w:cs="Calibri"/>
          <w:b/>
          <w:bCs/>
        </w:rPr>
      </w:pPr>
      <w:r w:rsidRPr="0015495E">
        <w:rPr>
          <w:rFonts w:ascii="Calibri" w:hAnsi="Calibri" w:cs="Calibri"/>
          <w:b/>
          <w:bCs/>
        </w:rPr>
        <w:lastRenderedPageBreak/>
        <w:t xml:space="preserve"> </w:t>
      </w:r>
      <w:r w:rsidR="00D95EB9" w:rsidRPr="0015495E">
        <w:rPr>
          <w:rFonts w:ascii="Calibri" w:hAnsi="Calibri" w:cs="Calibri"/>
          <w:b/>
          <w:bCs/>
        </w:rPr>
        <w:t>6.</w:t>
      </w:r>
      <w:r w:rsidRPr="0015495E">
        <w:rPr>
          <w:rFonts w:ascii="Calibri" w:hAnsi="Calibri" w:cs="Calibri"/>
          <w:b/>
          <w:bCs/>
        </w:rPr>
        <w:t>7</w:t>
      </w:r>
      <w:r w:rsidR="00D95EB9" w:rsidRPr="0015495E">
        <w:rPr>
          <w:rFonts w:ascii="Calibri" w:hAnsi="Calibri" w:cs="Calibri"/>
          <w:b/>
          <w:bCs/>
        </w:rPr>
        <w:t xml:space="preserve">  </w:t>
      </w:r>
      <w:r w:rsidRPr="0015495E">
        <w:rPr>
          <w:rFonts w:ascii="Calibri" w:hAnsi="Calibri" w:cs="Calibri"/>
          <w:b/>
          <w:bCs/>
        </w:rPr>
        <w:t xml:space="preserve"> </w:t>
      </w:r>
      <w:r w:rsidR="00ED21A7" w:rsidRPr="0015495E">
        <w:rPr>
          <w:rFonts w:ascii="Calibri" w:hAnsi="Calibri" w:cs="Calibri"/>
          <w:b/>
          <w:bCs/>
        </w:rPr>
        <w:t xml:space="preserve">Conclusion </w:t>
      </w:r>
    </w:p>
    <w:p w14:paraId="09F3C0EC" w14:textId="782DD82D" w:rsidR="00D95EB9" w:rsidRPr="00D95EB9" w:rsidRDefault="00D95EB9" w:rsidP="00D95EB9">
      <w:pPr>
        <w:pStyle w:val="ListParagraph"/>
        <w:numPr>
          <w:ilvl w:val="0"/>
          <w:numId w:val="37"/>
        </w:numPr>
        <w:spacing w:before="100" w:beforeAutospacing="1" w:after="100" w:afterAutospacing="1"/>
        <w:rPr>
          <w:rFonts w:ascii="Calibri" w:eastAsia="Times New Roman" w:hAnsi="Calibri" w:cs="Calibri"/>
          <w:kern w:val="0"/>
          <w:lang w:eastAsia="en-GB"/>
          <w14:ligatures w14:val="none"/>
        </w:rPr>
      </w:pPr>
      <w:r w:rsidRPr="00D95EB9">
        <w:rPr>
          <w:rFonts w:ascii="Calibri" w:eastAsia="Times New Roman" w:hAnsi="Calibri" w:cs="Calibri"/>
          <w:kern w:val="0"/>
          <w:lang w:eastAsia="en-GB"/>
          <w14:ligatures w14:val="none"/>
        </w:rPr>
        <w:t xml:space="preserve">In conclusion, while the report demonstrates </w:t>
      </w:r>
      <w:r>
        <w:rPr>
          <w:rFonts w:ascii="Calibri" w:eastAsia="Times New Roman" w:hAnsi="Calibri" w:cs="Calibri"/>
          <w:kern w:val="0"/>
          <w:lang w:eastAsia="en-GB"/>
          <w14:ligatures w14:val="none"/>
        </w:rPr>
        <w:t xml:space="preserve">some progress and a downward trend in </w:t>
      </w:r>
      <w:r w:rsidRPr="00D95EB9">
        <w:rPr>
          <w:rFonts w:ascii="Calibri" w:eastAsia="Times New Roman" w:hAnsi="Calibri" w:cs="Calibri"/>
          <w:kern w:val="0"/>
          <w:lang w:eastAsia="en-GB"/>
          <w14:ligatures w14:val="none"/>
        </w:rPr>
        <w:t>the mean</w:t>
      </w:r>
      <w:r w:rsidR="00095B3A">
        <w:rPr>
          <w:rFonts w:ascii="Calibri" w:eastAsia="Times New Roman" w:hAnsi="Calibri" w:cs="Calibri"/>
          <w:kern w:val="0"/>
          <w:lang w:eastAsia="en-GB"/>
          <w14:ligatures w14:val="none"/>
        </w:rPr>
        <w:t xml:space="preserve"> and median</w:t>
      </w:r>
      <w:r w:rsidRPr="00D95EB9">
        <w:rPr>
          <w:rFonts w:ascii="Calibri" w:eastAsia="Times New Roman" w:hAnsi="Calibri" w:cs="Calibri"/>
          <w:kern w:val="0"/>
          <w:lang w:eastAsia="en-GB"/>
          <w14:ligatures w14:val="none"/>
        </w:rPr>
        <w:t xml:space="preserve"> pay gap</w:t>
      </w:r>
      <w:r>
        <w:rPr>
          <w:rFonts w:ascii="Calibri" w:eastAsia="Times New Roman" w:hAnsi="Calibri" w:cs="Calibri"/>
          <w:kern w:val="0"/>
          <w:lang w:eastAsia="en-GB"/>
          <w14:ligatures w14:val="none"/>
        </w:rPr>
        <w:t>s for disability, gender and ethnicity</w:t>
      </w:r>
      <w:r w:rsidRPr="00D95EB9">
        <w:rPr>
          <w:rFonts w:ascii="Calibri" w:eastAsia="Times New Roman" w:hAnsi="Calibri" w:cs="Calibri"/>
          <w:kern w:val="0"/>
          <w:lang w:eastAsia="en-GB"/>
          <w14:ligatures w14:val="none"/>
        </w:rPr>
        <w:t>,</w:t>
      </w:r>
      <w:r w:rsidR="002211FA">
        <w:rPr>
          <w:rFonts w:ascii="Calibri" w:eastAsia="Times New Roman" w:hAnsi="Calibri" w:cs="Calibri"/>
          <w:kern w:val="0"/>
          <w:lang w:eastAsia="en-GB"/>
          <w14:ligatures w14:val="none"/>
        </w:rPr>
        <w:t xml:space="preserve"> work is ongoing</w:t>
      </w:r>
      <w:r w:rsidR="00FB4EC5">
        <w:rPr>
          <w:rFonts w:ascii="Calibri" w:eastAsia="Times New Roman" w:hAnsi="Calibri" w:cs="Calibri"/>
          <w:kern w:val="0"/>
          <w:lang w:eastAsia="en-GB"/>
          <w14:ligatures w14:val="none"/>
        </w:rPr>
        <w:t>,</w:t>
      </w:r>
      <w:r w:rsidRPr="00D95EB9">
        <w:rPr>
          <w:rFonts w:ascii="Calibri" w:eastAsia="Times New Roman" w:hAnsi="Calibri" w:cs="Calibri"/>
          <w:kern w:val="0"/>
          <w:lang w:eastAsia="en-GB"/>
          <w14:ligatures w14:val="none"/>
        </w:rPr>
        <w:t xml:space="preserve"> particularly</w:t>
      </w:r>
      <w:r w:rsidR="00095B3A">
        <w:rPr>
          <w:rFonts w:ascii="Calibri" w:eastAsia="Times New Roman" w:hAnsi="Calibri" w:cs="Calibri"/>
          <w:kern w:val="0"/>
          <w:lang w:eastAsia="en-GB"/>
          <w14:ligatures w14:val="none"/>
        </w:rPr>
        <w:t xml:space="preserve"> </w:t>
      </w:r>
      <w:r w:rsidRPr="00D95EB9">
        <w:rPr>
          <w:rFonts w:ascii="Calibri" w:eastAsia="Times New Roman" w:hAnsi="Calibri" w:cs="Calibri"/>
          <w:kern w:val="0"/>
          <w:lang w:eastAsia="en-GB"/>
          <w14:ligatures w14:val="none"/>
        </w:rPr>
        <w:t>in addressing pay disparities and enhancing the representation of women</w:t>
      </w:r>
      <w:r>
        <w:rPr>
          <w:rFonts w:ascii="Calibri" w:eastAsia="Times New Roman" w:hAnsi="Calibri" w:cs="Calibri"/>
          <w:kern w:val="0"/>
          <w:lang w:eastAsia="en-GB"/>
          <w14:ligatures w14:val="none"/>
        </w:rPr>
        <w:t>, staff from ethnic minority backgrounds and staff with a disability in</w:t>
      </w:r>
      <w:r w:rsidRPr="00D95EB9">
        <w:rPr>
          <w:rFonts w:ascii="Calibri" w:eastAsia="Times New Roman" w:hAnsi="Calibri" w:cs="Calibri"/>
          <w:kern w:val="0"/>
          <w:lang w:eastAsia="en-GB"/>
          <w14:ligatures w14:val="none"/>
        </w:rPr>
        <w:t xml:space="preserve"> higher-paid roles.</w:t>
      </w:r>
    </w:p>
    <w:p w14:paraId="673CCDD6" w14:textId="74611EFE" w:rsidR="00D95EB9" w:rsidRPr="00D95EB9" w:rsidRDefault="00D95EB9" w:rsidP="00D95EB9">
      <w:pPr>
        <w:pStyle w:val="ListParagraph"/>
        <w:numPr>
          <w:ilvl w:val="0"/>
          <w:numId w:val="37"/>
        </w:numPr>
        <w:spacing w:before="100" w:beforeAutospacing="1" w:after="100" w:afterAutospacing="1"/>
        <w:rPr>
          <w:rFonts w:ascii="Calibri" w:eastAsia="Times New Roman" w:hAnsi="Calibri" w:cs="Calibri"/>
          <w:kern w:val="0"/>
          <w:lang w:eastAsia="en-GB"/>
          <w14:ligatures w14:val="none"/>
        </w:rPr>
      </w:pPr>
      <w:r w:rsidRPr="00D95EB9">
        <w:rPr>
          <w:rFonts w:ascii="Calibri" w:eastAsia="Times New Roman" w:hAnsi="Calibri" w:cs="Calibri"/>
          <w:kern w:val="0"/>
          <w:lang w:eastAsia="en-GB"/>
          <w14:ligatures w14:val="none"/>
        </w:rPr>
        <w:t>Achieving a reduction in th</w:t>
      </w:r>
      <w:r>
        <w:rPr>
          <w:rFonts w:ascii="Calibri" w:eastAsia="Times New Roman" w:hAnsi="Calibri" w:cs="Calibri"/>
          <w:kern w:val="0"/>
          <w:lang w:eastAsia="en-GB"/>
          <w14:ligatures w14:val="none"/>
        </w:rPr>
        <w:t>e</w:t>
      </w:r>
      <w:r w:rsidRPr="00D95EB9">
        <w:rPr>
          <w:rFonts w:ascii="Calibri" w:eastAsia="Times New Roman" w:hAnsi="Calibri" w:cs="Calibri"/>
          <w:kern w:val="0"/>
          <w:lang w:eastAsia="en-GB"/>
          <w14:ligatures w14:val="none"/>
        </w:rPr>
        <w:t xml:space="preserve"> pay gap</w:t>
      </w:r>
      <w:r>
        <w:rPr>
          <w:rFonts w:ascii="Calibri" w:eastAsia="Times New Roman" w:hAnsi="Calibri" w:cs="Calibri"/>
          <w:kern w:val="0"/>
          <w:lang w:eastAsia="en-GB"/>
          <w14:ligatures w14:val="none"/>
        </w:rPr>
        <w:t>s</w:t>
      </w:r>
      <w:r w:rsidRPr="00D95EB9">
        <w:rPr>
          <w:rFonts w:ascii="Calibri" w:eastAsia="Times New Roman" w:hAnsi="Calibri" w:cs="Calibri"/>
          <w:kern w:val="0"/>
          <w:lang w:eastAsia="en-GB"/>
          <w14:ligatures w14:val="none"/>
        </w:rPr>
        <w:t xml:space="preserve"> will require </w:t>
      </w:r>
      <w:r>
        <w:rPr>
          <w:rFonts w:ascii="Calibri" w:eastAsia="Times New Roman" w:hAnsi="Calibri" w:cs="Calibri"/>
          <w:kern w:val="0"/>
          <w:lang w:eastAsia="en-GB"/>
          <w14:ligatures w14:val="none"/>
        </w:rPr>
        <w:t>women, ethnic minorities and staff members with a disability and long-term condition to be evenly distributed across the pay quartiles at Sandwell and West Birmingham</w:t>
      </w:r>
    </w:p>
    <w:p w14:paraId="22B17C1C" w14:textId="4E256451" w:rsidR="00D95EB9" w:rsidRPr="00D95EB9" w:rsidRDefault="00D95EB9" w:rsidP="00D95EB9">
      <w:pPr>
        <w:pStyle w:val="ListParagraph"/>
        <w:numPr>
          <w:ilvl w:val="0"/>
          <w:numId w:val="37"/>
        </w:numPr>
        <w:spacing w:before="100" w:beforeAutospacing="1" w:after="100" w:afterAutospacing="1"/>
        <w:rPr>
          <w:rFonts w:ascii="Calibri" w:eastAsia="Times New Roman" w:hAnsi="Calibri" w:cs="Calibri"/>
          <w:kern w:val="0"/>
          <w:lang w:eastAsia="en-GB"/>
          <w14:ligatures w14:val="none"/>
        </w:rPr>
      </w:pPr>
      <w:r w:rsidRPr="00D95EB9">
        <w:rPr>
          <w:rFonts w:ascii="Calibri" w:eastAsia="Times New Roman" w:hAnsi="Calibri" w:cs="Calibri"/>
          <w:kern w:val="0"/>
          <w:lang w:eastAsia="en-GB"/>
          <w14:ligatures w14:val="none"/>
        </w:rPr>
        <w:t>Strategies to close pay ga</w:t>
      </w:r>
      <w:r>
        <w:rPr>
          <w:rFonts w:ascii="Calibri" w:eastAsia="Times New Roman" w:hAnsi="Calibri" w:cs="Calibri"/>
          <w:kern w:val="0"/>
          <w:lang w:eastAsia="en-GB"/>
          <w14:ligatures w14:val="none"/>
        </w:rPr>
        <w:t>ps</w:t>
      </w:r>
      <w:r w:rsidRPr="00D95EB9">
        <w:rPr>
          <w:rFonts w:ascii="Calibri" w:eastAsia="Times New Roman" w:hAnsi="Calibri" w:cs="Calibri"/>
          <w:kern w:val="0"/>
          <w:lang w:eastAsia="en-GB"/>
          <w14:ligatures w14:val="none"/>
        </w:rPr>
        <w:t xml:space="preserve"> must not only address the systemic barriers commonly experienced by women, but also target the specific inequalities faced by</w:t>
      </w:r>
      <w:r>
        <w:rPr>
          <w:rFonts w:ascii="Calibri" w:eastAsia="Times New Roman" w:hAnsi="Calibri" w:cs="Calibri"/>
          <w:kern w:val="0"/>
          <w:lang w:eastAsia="en-GB"/>
          <w14:ligatures w14:val="none"/>
        </w:rPr>
        <w:t xml:space="preserve"> staff </w:t>
      </w:r>
      <w:r w:rsidRPr="00D95EB9">
        <w:rPr>
          <w:rFonts w:ascii="Calibri" w:eastAsia="Times New Roman" w:hAnsi="Calibri" w:cs="Calibri"/>
          <w:kern w:val="0"/>
          <w:lang w:eastAsia="en-GB"/>
          <w14:ligatures w14:val="none"/>
        </w:rPr>
        <w:t>from diverse backgrounds,</w:t>
      </w:r>
      <w:r>
        <w:rPr>
          <w:rFonts w:ascii="Calibri" w:eastAsia="Times New Roman" w:hAnsi="Calibri" w:cs="Calibri"/>
          <w:kern w:val="0"/>
          <w:lang w:eastAsia="en-GB"/>
          <w14:ligatures w14:val="none"/>
        </w:rPr>
        <w:t xml:space="preserve"> and staff members with a disability or long-term condition, overlayed with data related to intersectionality.</w:t>
      </w:r>
    </w:p>
    <w:p w14:paraId="0DF31132" w14:textId="515C5734" w:rsidR="00D95EB9" w:rsidRPr="00095B3A" w:rsidRDefault="00D95EB9" w:rsidP="00095B3A">
      <w:pPr>
        <w:pStyle w:val="ListParagraph"/>
        <w:numPr>
          <w:ilvl w:val="0"/>
          <w:numId w:val="37"/>
        </w:numPr>
        <w:spacing w:before="100" w:beforeAutospacing="1" w:after="100" w:afterAutospacing="1"/>
        <w:rPr>
          <w:rFonts w:ascii="Calibri" w:eastAsia="Times New Roman" w:hAnsi="Calibri" w:cs="Calibri"/>
          <w:kern w:val="0"/>
          <w:lang w:eastAsia="en-GB"/>
          <w14:ligatures w14:val="none"/>
        </w:rPr>
      </w:pPr>
      <w:r w:rsidRPr="00D95EB9">
        <w:rPr>
          <w:rFonts w:ascii="Calibri" w:eastAsia="Times New Roman" w:hAnsi="Calibri" w:cs="Calibri"/>
          <w:kern w:val="0"/>
          <w:lang w:eastAsia="en-GB"/>
          <w14:ligatures w14:val="none"/>
        </w:rPr>
        <w:t>The Trust will continue to review and implement the actions detailed in</w:t>
      </w:r>
      <w:r>
        <w:rPr>
          <w:rFonts w:ascii="Calibri" w:eastAsia="Times New Roman" w:hAnsi="Calibri" w:cs="Calibri"/>
          <w:kern w:val="0"/>
          <w:lang w:eastAsia="en-GB"/>
          <w14:ligatures w14:val="none"/>
        </w:rPr>
        <w:t xml:space="preserve"> the</w:t>
      </w:r>
      <w:r w:rsidR="00095B3A">
        <w:rPr>
          <w:rFonts w:ascii="Calibri" w:eastAsia="Times New Roman" w:hAnsi="Calibri" w:cs="Calibri"/>
          <w:kern w:val="0"/>
          <w:lang w:eastAsia="en-GB"/>
          <w14:ligatures w14:val="none"/>
        </w:rPr>
        <w:t xml:space="preserve"> pay gap</w:t>
      </w:r>
      <w:r>
        <w:rPr>
          <w:rFonts w:ascii="Calibri" w:eastAsia="Times New Roman" w:hAnsi="Calibri" w:cs="Calibri"/>
          <w:kern w:val="0"/>
          <w:lang w:eastAsia="en-GB"/>
          <w14:ligatures w14:val="none"/>
        </w:rPr>
        <w:t xml:space="preserve"> action plan</w:t>
      </w:r>
      <w:r w:rsidR="00095B3A">
        <w:rPr>
          <w:rFonts w:ascii="Calibri" w:eastAsia="Times New Roman" w:hAnsi="Calibri" w:cs="Calibri"/>
          <w:kern w:val="0"/>
          <w:lang w:eastAsia="en-GB"/>
          <w14:ligatures w14:val="none"/>
        </w:rPr>
        <w:t xml:space="preserve"> section 6.6</w:t>
      </w:r>
      <w:r>
        <w:rPr>
          <w:rFonts w:ascii="Calibri" w:eastAsia="Times New Roman" w:hAnsi="Calibri" w:cs="Calibri"/>
          <w:kern w:val="0"/>
          <w:lang w:eastAsia="en-GB"/>
          <w14:ligatures w14:val="none"/>
        </w:rPr>
        <w:t xml:space="preserve"> </w:t>
      </w:r>
      <w:r w:rsidRPr="00D95EB9">
        <w:rPr>
          <w:rFonts w:ascii="Calibri" w:eastAsia="Times New Roman" w:hAnsi="Calibri" w:cs="Calibri"/>
          <w:kern w:val="0"/>
          <w:lang w:eastAsia="en-GB"/>
          <w14:ligatures w14:val="none"/>
        </w:rPr>
        <w:t>to support ongoing efforts to reduce</w:t>
      </w:r>
      <w:r w:rsidRPr="00095B3A">
        <w:rPr>
          <w:rFonts w:ascii="Calibri" w:eastAsia="Times New Roman" w:hAnsi="Calibri" w:cs="Calibri"/>
          <w:kern w:val="0"/>
          <w:lang w:eastAsia="en-GB"/>
          <w14:ligatures w14:val="none"/>
        </w:rPr>
        <w:t xml:space="preserve"> pay gap</w:t>
      </w:r>
      <w:r w:rsidR="00095B3A">
        <w:rPr>
          <w:rFonts w:ascii="Calibri" w:eastAsia="Times New Roman" w:hAnsi="Calibri" w:cs="Calibri"/>
          <w:kern w:val="0"/>
          <w:lang w:eastAsia="en-GB"/>
          <w14:ligatures w14:val="none"/>
        </w:rPr>
        <w:t>s</w:t>
      </w:r>
      <w:r w:rsidRPr="00095B3A">
        <w:rPr>
          <w:rFonts w:ascii="Calibri" w:eastAsia="Times New Roman" w:hAnsi="Calibri" w:cs="Calibri"/>
          <w:kern w:val="0"/>
          <w:lang w:eastAsia="en-GB"/>
          <w14:ligatures w14:val="none"/>
        </w:rPr>
        <w:t>.</w:t>
      </w:r>
    </w:p>
    <w:p w14:paraId="06DBBF8F" w14:textId="42E4DB72" w:rsidR="00ED21A7" w:rsidRPr="001D7628" w:rsidRDefault="00D95EB9" w:rsidP="001D7628">
      <w:pPr>
        <w:pStyle w:val="ListParagraph"/>
        <w:numPr>
          <w:ilvl w:val="0"/>
          <w:numId w:val="37"/>
        </w:numPr>
        <w:spacing w:before="100" w:beforeAutospacing="1" w:after="100" w:afterAutospacing="1"/>
        <w:rPr>
          <w:rFonts w:ascii="Calibri" w:eastAsia="Times New Roman" w:hAnsi="Calibri" w:cs="Calibri"/>
          <w:kern w:val="0"/>
          <w:lang w:eastAsia="en-GB"/>
          <w14:ligatures w14:val="none"/>
        </w:rPr>
      </w:pPr>
      <w:r w:rsidRPr="00D95EB9">
        <w:rPr>
          <w:rFonts w:ascii="Calibri" w:eastAsia="Times New Roman" w:hAnsi="Calibri" w:cs="Calibri"/>
          <w:kern w:val="0"/>
          <w:lang w:eastAsia="en-GB"/>
          <w14:ligatures w14:val="none"/>
        </w:rPr>
        <w:t>These actions form part of the Trust’s wider Equality, Diversity and Inclusion (EDI) Journey and directly support High Impact Action 3 of the NHS England EDI Improvement Plan, which focuses on developing and delivering measures to eliminate pay gaps.</w:t>
      </w:r>
    </w:p>
    <w:p w14:paraId="576CD530" w14:textId="087D87DB" w:rsidR="00ED21A7" w:rsidRPr="0015495E" w:rsidRDefault="00095B3A" w:rsidP="001D7628">
      <w:pPr>
        <w:spacing w:after="0"/>
        <w:ind w:left="-340"/>
        <w:jc w:val="both"/>
        <w:rPr>
          <w:rFonts w:ascii="Calibri" w:hAnsi="Calibri" w:cs="Calibri"/>
          <w:b/>
          <w:bCs/>
        </w:rPr>
      </w:pPr>
      <w:r w:rsidRPr="0015495E">
        <w:rPr>
          <w:rFonts w:ascii="Calibri" w:hAnsi="Calibri" w:cs="Calibri"/>
          <w:b/>
          <w:bCs/>
        </w:rPr>
        <w:t xml:space="preserve">6.8   </w:t>
      </w:r>
      <w:r w:rsidR="00ED21A7" w:rsidRPr="0015495E">
        <w:rPr>
          <w:rFonts w:ascii="Calibri" w:hAnsi="Calibri" w:cs="Calibri"/>
          <w:b/>
          <w:bCs/>
        </w:rPr>
        <w:t xml:space="preserve">Recommendation </w:t>
      </w:r>
    </w:p>
    <w:p w14:paraId="56DCDDFE" w14:textId="77777777" w:rsidR="001D7628" w:rsidRDefault="001D7628" w:rsidP="001D7628">
      <w:pPr>
        <w:spacing w:after="0"/>
        <w:jc w:val="both"/>
        <w:rPr>
          <w:rFonts w:ascii="Calibri" w:hAnsi="Calibri" w:cs="Calibri"/>
        </w:rPr>
      </w:pPr>
      <w:r w:rsidRPr="001D7628">
        <w:rPr>
          <w:rFonts w:ascii="Calibri" w:hAnsi="Calibri" w:cs="Calibri"/>
        </w:rPr>
        <w:t xml:space="preserve">  </w:t>
      </w:r>
    </w:p>
    <w:p w14:paraId="441D9FC6" w14:textId="4404D573" w:rsidR="001D7628" w:rsidRPr="001D7628" w:rsidRDefault="001D7628" w:rsidP="001D7628">
      <w:pPr>
        <w:spacing w:after="0"/>
        <w:jc w:val="both"/>
        <w:rPr>
          <w:rFonts w:ascii="Calibri" w:hAnsi="Calibri" w:cs="Calibri"/>
        </w:rPr>
      </w:pPr>
      <w:r>
        <w:rPr>
          <w:rFonts w:ascii="Calibri" w:hAnsi="Calibri" w:cs="Calibri"/>
        </w:rPr>
        <w:t xml:space="preserve">   </w:t>
      </w:r>
      <w:r w:rsidRPr="001D7628">
        <w:rPr>
          <w:rFonts w:ascii="Calibri" w:hAnsi="Calibri" w:cs="Calibri"/>
        </w:rPr>
        <w:t xml:space="preserve"> The People Committee are asked to approve this data report for publication on the  </w:t>
      </w:r>
    </w:p>
    <w:p w14:paraId="18C33692" w14:textId="52D17F53" w:rsidR="001D7628" w:rsidRPr="001D7628" w:rsidRDefault="001D7628" w:rsidP="001D7628">
      <w:pPr>
        <w:spacing w:after="0"/>
        <w:jc w:val="both"/>
        <w:rPr>
          <w:rFonts w:ascii="Calibri" w:hAnsi="Calibri" w:cs="Calibri"/>
        </w:rPr>
      </w:pPr>
      <w:r w:rsidRPr="001D7628">
        <w:rPr>
          <w:rFonts w:ascii="Calibri" w:hAnsi="Calibri" w:cs="Calibri"/>
        </w:rPr>
        <w:t xml:space="preserve">   </w:t>
      </w:r>
      <w:r>
        <w:rPr>
          <w:rFonts w:ascii="Calibri" w:hAnsi="Calibri" w:cs="Calibri"/>
        </w:rPr>
        <w:t xml:space="preserve"> </w:t>
      </w:r>
      <w:r w:rsidRPr="001D7628">
        <w:rPr>
          <w:rFonts w:ascii="Calibri" w:hAnsi="Calibri" w:cs="Calibri"/>
        </w:rPr>
        <w:t>Trust’s website as required.</w:t>
      </w:r>
    </w:p>
    <w:p w14:paraId="3D95B87C" w14:textId="141134FE" w:rsidR="00C723D7" w:rsidRDefault="00C723D7" w:rsidP="000F504B">
      <w:pPr>
        <w:ind w:left="0"/>
        <w:jc w:val="both"/>
        <w:rPr>
          <w:rFonts w:ascii="Calibri" w:hAnsi="Calibri" w:cs="Calibri"/>
        </w:rPr>
      </w:pPr>
    </w:p>
    <w:p w14:paraId="4AD4C9D4" w14:textId="77777777" w:rsidR="00C723D7" w:rsidRDefault="00C723D7" w:rsidP="000F504B">
      <w:pPr>
        <w:ind w:left="0"/>
        <w:jc w:val="both"/>
        <w:rPr>
          <w:rFonts w:ascii="Calibri" w:hAnsi="Calibri" w:cs="Calibri"/>
        </w:rPr>
      </w:pPr>
    </w:p>
    <w:p w14:paraId="68AA2D1C" w14:textId="77777777" w:rsidR="00C723D7" w:rsidRDefault="00C723D7" w:rsidP="000F504B">
      <w:pPr>
        <w:ind w:left="0"/>
        <w:jc w:val="both"/>
        <w:rPr>
          <w:rFonts w:ascii="Calibri" w:hAnsi="Calibri" w:cs="Calibri"/>
        </w:rPr>
      </w:pPr>
    </w:p>
    <w:p w14:paraId="5FB9C946" w14:textId="77777777" w:rsidR="00C723D7" w:rsidRPr="008C37C8" w:rsidRDefault="00C723D7" w:rsidP="000F504B">
      <w:pPr>
        <w:ind w:left="0"/>
        <w:jc w:val="both"/>
        <w:rPr>
          <w:rFonts w:ascii="Calibri" w:hAnsi="Calibri" w:cs="Calibri"/>
        </w:rPr>
      </w:pPr>
    </w:p>
    <w:sectPr w:rsidR="00C723D7" w:rsidRPr="008C37C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81660" w14:textId="77777777" w:rsidR="001A3A47" w:rsidRDefault="001A3A47" w:rsidP="000973DF">
      <w:pPr>
        <w:spacing w:after="0"/>
      </w:pPr>
      <w:r>
        <w:separator/>
      </w:r>
    </w:p>
  </w:endnote>
  <w:endnote w:type="continuationSeparator" w:id="0">
    <w:p w14:paraId="3A9D06C5" w14:textId="77777777" w:rsidR="001A3A47" w:rsidRDefault="001A3A47" w:rsidP="00097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2146" w14:textId="77777777" w:rsidR="0015495E" w:rsidRDefault="00154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134579"/>
      <w:docPartObj>
        <w:docPartGallery w:val="Page Numbers (Bottom of Page)"/>
        <w:docPartUnique/>
      </w:docPartObj>
    </w:sdtPr>
    <w:sdtEndPr>
      <w:rPr>
        <w:noProof/>
      </w:rPr>
    </w:sdtEndPr>
    <w:sdtContent>
      <w:p w14:paraId="0F0299DA" w14:textId="45931303" w:rsidR="000973DF" w:rsidRDefault="000973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9FDFFE" w14:textId="77777777" w:rsidR="000973DF" w:rsidRDefault="00097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218A" w14:textId="77777777" w:rsidR="0015495E" w:rsidRDefault="00154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5605" w14:textId="77777777" w:rsidR="001A3A47" w:rsidRDefault="001A3A47" w:rsidP="000973DF">
      <w:pPr>
        <w:spacing w:after="0"/>
      </w:pPr>
      <w:r>
        <w:separator/>
      </w:r>
    </w:p>
  </w:footnote>
  <w:footnote w:type="continuationSeparator" w:id="0">
    <w:p w14:paraId="2AF6826D" w14:textId="77777777" w:rsidR="001A3A47" w:rsidRDefault="001A3A47" w:rsidP="000973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4B4A" w14:textId="3395D486" w:rsidR="0015495E" w:rsidRDefault="00154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95A8" w14:textId="1606DD04" w:rsidR="0015495E" w:rsidRDefault="001549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472E" w14:textId="59267651" w:rsidR="0015495E" w:rsidRDefault="00154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3DBD"/>
    <w:multiLevelType w:val="hybridMultilevel"/>
    <w:tmpl w:val="B2E2FE62"/>
    <w:lvl w:ilvl="0" w:tplc="F1FCDD8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531B7"/>
    <w:multiLevelType w:val="multilevel"/>
    <w:tmpl w:val="E63C1FE8"/>
    <w:lvl w:ilvl="0">
      <w:start w:val="1"/>
      <w:numFmt w:val="decimal"/>
      <w:lvlText w:val="%1."/>
      <w:lvlJc w:val="left"/>
      <w:pPr>
        <w:ind w:left="550" w:hanging="360"/>
      </w:pPr>
      <w:rPr>
        <w:rFonts w:hint="default"/>
        <w:b/>
        <w:i w:val="0"/>
        <w:sz w:val="24"/>
      </w:rPr>
    </w:lvl>
    <w:lvl w:ilvl="1">
      <w:numFmt w:val="decimal"/>
      <w:isLgl/>
      <w:lvlText w:val="%1.%2"/>
      <w:lvlJc w:val="left"/>
      <w:pPr>
        <w:ind w:left="580" w:hanging="580"/>
      </w:pPr>
      <w:rPr>
        <w:rFonts w:hint="default"/>
      </w:rPr>
    </w:lvl>
    <w:lvl w:ilvl="2">
      <w:start w:val="1"/>
      <w:numFmt w:val="decimal"/>
      <w:isLgl/>
      <w:lvlText w:val="%1.%2.%3"/>
      <w:lvlJc w:val="left"/>
      <w:pPr>
        <w:ind w:left="910" w:hanging="720"/>
      </w:pPr>
      <w:rPr>
        <w:rFonts w:hint="default"/>
      </w:rPr>
    </w:lvl>
    <w:lvl w:ilvl="3">
      <w:start w:val="1"/>
      <w:numFmt w:val="decimal"/>
      <w:isLgl/>
      <w:lvlText w:val="%1.%2.%3.%4"/>
      <w:lvlJc w:val="left"/>
      <w:pPr>
        <w:ind w:left="910" w:hanging="720"/>
      </w:pPr>
      <w:rPr>
        <w:rFonts w:hint="default"/>
      </w:rPr>
    </w:lvl>
    <w:lvl w:ilvl="4">
      <w:start w:val="1"/>
      <w:numFmt w:val="decimal"/>
      <w:isLgl/>
      <w:lvlText w:val="%1.%2.%3.%4.%5"/>
      <w:lvlJc w:val="left"/>
      <w:pPr>
        <w:ind w:left="1270" w:hanging="1080"/>
      </w:pPr>
      <w:rPr>
        <w:rFonts w:hint="default"/>
      </w:rPr>
    </w:lvl>
    <w:lvl w:ilvl="5">
      <w:start w:val="1"/>
      <w:numFmt w:val="decimal"/>
      <w:isLgl/>
      <w:lvlText w:val="%1.%2.%3.%4.%5.%6"/>
      <w:lvlJc w:val="left"/>
      <w:pPr>
        <w:ind w:left="1270" w:hanging="1080"/>
      </w:pPr>
      <w:rPr>
        <w:rFonts w:hint="default"/>
      </w:rPr>
    </w:lvl>
    <w:lvl w:ilvl="6">
      <w:start w:val="1"/>
      <w:numFmt w:val="decimal"/>
      <w:isLgl/>
      <w:lvlText w:val="%1.%2.%3.%4.%5.%6.%7"/>
      <w:lvlJc w:val="left"/>
      <w:pPr>
        <w:ind w:left="1630" w:hanging="1440"/>
      </w:pPr>
      <w:rPr>
        <w:rFonts w:hint="default"/>
      </w:rPr>
    </w:lvl>
    <w:lvl w:ilvl="7">
      <w:start w:val="1"/>
      <w:numFmt w:val="decimal"/>
      <w:isLgl/>
      <w:lvlText w:val="%1.%2.%3.%4.%5.%6.%7.%8"/>
      <w:lvlJc w:val="left"/>
      <w:pPr>
        <w:ind w:left="1630" w:hanging="1440"/>
      </w:pPr>
      <w:rPr>
        <w:rFonts w:hint="default"/>
      </w:rPr>
    </w:lvl>
    <w:lvl w:ilvl="8">
      <w:start w:val="1"/>
      <w:numFmt w:val="decimal"/>
      <w:isLgl/>
      <w:lvlText w:val="%1.%2.%3.%4.%5.%6.%7.%8.%9"/>
      <w:lvlJc w:val="left"/>
      <w:pPr>
        <w:ind w:left="1990" w:hanging="1800"/>
      </w:pPr>
      <w:rPr>
        <w:rFonts w:hint="default"/>
      </w:rPr>
    </w:lvl>
  </w:abstractNum>
  <w:abstractNum w:abstractNumId="2" w15:restartNumberingAfterBreak="0">
    <w:nsid w:val="098D1276"/>
    <w:multiLevelType w:val="multilevel"/>
    <w:tmpl w:val="DE3E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F3106F"/>
    <w:multiLevelType w:val="multilevel"/>
    <w:tmpl w:val="4BC0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97CA7"/>
    <w:multiLevelType w:val="multilevel"/>
    <w:tmpl w:val="B904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F2A22"/>
    <w:multiLevelType w:val="hybridMultilevel"/>
    <w:tmpl w:val="471A4288"/>
    <w:lvl w:ilvl="0" w:tplc="08090001">
      <w:start w:val="1"/>
      <w:numFmt w:val="bullet"/>
      <w:lvlText w:val=""/>
      <w:lvlJc w:val="left"/>
      <w:pPr>
        <w:ind w:left="1270" w:hanging="360"/>
      </w:pPr>
      <w:rPr>
        <w:rFonts w:ascii="Symbol" w:hAnsi="Symbol" w:hint="default"/>
      </w:rPr>
    </w:lvl>
    <w:lvl w:ilvl="1" w:tplc="08090003" w:tentative="1">
      <w:start w:val="1"/>
      <w:numFmt w:val="bullet"/>
      <w:lvlText w:val="o"/>
      <w:lvlJc w:val="left"/>
      <w:pPr>
        <w:ind w:left="1990" w:hanging="360"/>
      </w:pPr>
      <w:rPr>
        <w:rFonts w:ascii="Courier New" w:hAnsi="Courier New" w:cs="Courier New" w:hint="default"/>
      </w:rPr>
    </w:lvl>
    <w:lvl w:ilvl="2" w:tplc="08090005" w:tentative="1">
      <w:start w:val="1"/>
      <w:numFmt w:val="bullet"/>
      <w:lvlText w:val=""/>
      <w:lvlJc w:val="left"/>
      <w:pPr>
        <w:ind w:left="2710" w:hanging="360"/>
      </w:pPr>
      <w:rPr>
        <w:rFonts w:ascii="Wingdings" w:hAnsi="Wingdings" w:hint="default"/>
      </w:rPr>
    </w:lvl>
    <w:lvl w:ilvl="3" w:tplc="08090001" w:tentative="1">
      <w:start w:val="1"/>
      <w:numFmt w:val="bullet"/>
      <w:lvlText w:val=""/>
      <w:lvlJc w:val="left"/>
      <w:pPr>
        <w:ind w:left="3430" w:hanging="360"/>
      </w:pPr>
      <w:rPr>
        <w:rFonts w:ascii="Symbol" w:hAnsi="Symbol" w:hint="default"/>
      </w:rPr>
    </w:lvl>
    <w:lvl w:ilvl="4" w:tplc="08090003" w:tentative="1">
      <w:start w:val="1"/>
      <w:numFmt w:val="bullet"/>
      <w:lvlText w:val="o"/>
      <w:lvlJc w:val="left"/>
      <w:pPr>
        <w:ind w:left="4150" w:hanging="360"/>
      </w:pPr>
      <w:rPr>
        <w:rFonts w:ascii="Courier New" w:hAnsi="Courier New" w:cs="Courier New" w:hint="default"/>
      </w:rPr>
    </w:lvl>
    <w:lvl w:ilvl="5" w:tplc="08090005" w:tentative="1">
      <w:start w:val="1"/>
      <w:numFmt w:val="bullet"/>
      <w:lvlText w:val=""/>
      <w:lvlJc w:val="left"/>
      <w:pPr>
        <w:ind w:left="4870" w:hanging="360"/>
      </w:pPr>
      <w:rPr>
        <w:rFonts w:ascii="Wingdings" w:hAnsi="Wingdings" w:hint="default"/>
      </w:rPr>
    </w:lvl>
    <w:lvl w:ilvl="6" w:tplc="08090001" w:tentative="1">
      <w:start w:val="1"/>
      <w:numFmt w:val="bullet"/>
      <w:lvlText w:val=""/>
      <w:lvlJc w:val="left"/>
      <w:pPr>
        <w:ind w:left="5590" w:hanging="360"/>
      </w:pPr>
      <w:rPr>
        <w:rFonts w:ascii="Symbol" w:hAnsi="Symbol" w:hint="default"/>
      </w:rPr>
    </w:lvl>
    <w:lvl w:ilvl="7" w:tplc="08090003" w:tentative="1">
      <w:start w:val="1"/>
      <w:numFmt w:val="bullet"/>
      <w:lvlText w:val="o"/>
      <w:lvlJc w:val="left"/>
      <w:pPr>
        <w:ind w:left="6310" w:hanging="360"/>
      </w:pPr>
      <w:rPr>
        <w:rFonts w:ascii="Courier New" w:hAnsi="Courier New" w:cs="Courier New" w:hint="default"/>
      </w:rPr>
    </w:lvl>
    <w:lvl w:ilvl="8" w:tplc="08090005" w:tentative="1">
      <w:start w:val="1"/>
      <w:numFmt w:val="bullet"/>
      <w:lvlText w:val=""/>
      <w:lvlJc w:val="left"/>
      <w:pPr>
        <w:ind w:left="7030" w:hanging="360"/>
      </w:pPr>
      <w:rPr>
        <w:rFonts w:ascii="Wingdings" w:hAnsi="Wingdings" w:hint="default"/>
      </w:rPr>
    </w:lvl>
  </w:abstractNum>
  <w:abstractNum w:abstractNumId="6" w15:restartNumberingAfterBreak="0">
    <w:nsid w:val="16F43620"/>
    <w:multiLevelType w:val="multilevel"/>
    <w:tmpl w:val="5CE66D6C"/>
    <w:lvl w:ilvl="0">
      <w:start w:val="1"/>
      <w:numFmt w:val="decimal"/>
      <w:lvlText w:val="%1."/>
      <w:lvlJc w:val="left"/>
      <w:pPr>
        <w:ind w:left="720" w:hanging="360"/>
      </w:pPr>
      <w:rPr>
        <w:rFonts w:hint="default"/>
        <w:b/>
        <w:bCs/>
      </w:rPr>
    </w:lvl>
    <w:lvl w:ilvl="1">
      <w:start w:val="1"/>
      <w:numFmt w:val="decimal"/>
      <w:isLgl/>
      <w:lvlText w:val="%1.%2"/>
      <w:lvlJc w:val="left"/>
      <w:pPr>
        <w:ind w:left="730" w:hanging="730"/>
      </w:pPr>
      <w:rPr>
        <w:rFonts w:hint="default"/>
        <w:b w:val="0"/>
        <w:bCs w:val="0"/>
        <w:sz w:val="24"/>
        <w:szCs w:val="24"/>
      </w:rPr>
    </w:lvl>
    <w:lvl w:ilvl="2">
      <w:start w:val="1"/>
      <w:numFmt w:val="decimal"/>
      <w:isLgl/>
      <w:lvlText w:val="%1.%2.%3"/>
      <w:lvlJc w:val="left"/>
      <w:pPr>
        <w:ind w:left="1090" w:hanging="7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692B6B"/>
    <w:multiLevelType w:val="hybridMultilevel"/>
    <w:tmpl w:val="6622971E"/>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19E069C8"/>
    <w:multiLevelType w:val="hybridMultilevel"/>
    <w:tmpl w:val="E17A8E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AC53BF5"/>
    <w:multiLevelType w:val="multilevel"/>
    <w:tmpl w:val="E82695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F7F00A8"/>
    <w:multiLevelType w:val="multilevel"/>
    <w:tmpl w:val="B772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BB6EED"/>
    <w:multiLevelType w:val="multilevel"/>
    <w:tmpl w:val="A74A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F58C4"/>
    <w:multiLevelType w:val="hybridMultilevel"/>
    <w:tmpl w:val="2EB4FD44"/>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25DD4803"/>
    <w:multiLevelType w:val="hybridMultilevel"/>
    <w:tmpl w:val="B8AAFB8C"/>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4" w15:restartNumberingAfterBreak="0">
    <w:nsid w:val="26E266CE"/>
    <w:multiLevelType w:val="multilevel"/>
    <w:tmpl w:val="6E0A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EF2E5E"/>
    <w:multiLevelType w:val="multilevel"/>
    <w:tmpl w:val="457C1566"/>
    <w:lvl w:ilvl="0">
      <w:start w:val="1"/>
      <w:numFmt w:val="decimal"/>
      <w:lvlText w:val="%1."/>
      <w:lvlJc w:val="left"/>
      <w:pPr>
        <w:ind w:left="360" w:hanging="360"/>
      </w:pPr>
      <w:rPr>
        <w:rFonts w:hint="default"/>
        <w:b/>
        <w:i w:val="0"/>
        <w:sz w:val="24"/>
      </w:rPr>
    </w:lvl>
    <w:lvl w:ilvl="1">
      <w:start w:val="1"/>
      <w:numFmt w:val="decimal"/>
      <w:isLgl/>
      <w:lvlText w:val="%1.%2"/>
      <w:lvlJc w:val="left"/>
      <w:pPr>
        <w:ind w:left="520" w:hanging="520"/>
      </w:pPr>
      <w:rPr>
        <w:rFonts w:ascii="Calibri" w:hAnsi="Calibri" w:cs="Calibr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D6241C7"/>
    <w:multiLevelType w:val="hybridMultilevel"/>
    <w:tmpl w:val="72D02B24"/>
    <w:lvl w:ilvl="0" w:tplc="35045BFE">
      <w:start w:val="1"/>
      <w:numFmt w:val="decimal"/>
      <w:lvlText w:val="%1."/>
      <w:lvlJc w:val="left"/>
      <w:pPr>
        <w:ind w:left="860" w:hanging="360"/>
      </w:pPr>
      <w:rPr>
        <w:rFonts w:hint="default"/>
        <w:b/>
        <w:i w:val="0"/>
        <w:sz w:val="24"/>
      </w:rPr>
    </w:lvl>
    <w:lvl w:ilvl="1" w:tplc="08090019" w:tentative="1">
      <w:start w:val="1"/>
      <w:numFmt w:val="lowerLetter"/>
      <w:lvlText w:val="%2."/>
      <w:lvlJc w:val="left"/>
      <w:pPr>
        <w:ind w:left="1580" w:hanging="360"/>
      </w:pPr>
    </w:lvl>
    <w:lvl w:ilvl="2" w:tplc="0809001B" w:tentative="1">
      <w:start w:val="1"/>
      <w:numFmt w:val="lowerRoman"/>
      <w:lvlText w:val="%3."/>
      <w:lvlJc w:val="right"/>
      <w:pPr>
        <w:ind w:left="2300" w:hanging="180"/>
      </w:pPr>
    </w:lvl>
    <w:lvl w:ilvl="3" w:tplc="0809000F" w:tentative="1">
      <w:start w:val="1"/>
      <w:numFmt w:val="decimal"/>
      <w:lvlText w:val="%4."/>
      <w:lvlJc w:val="left"/>
      <w:pPr>
        <w:ind w:left="3020" w:hanging="360"/>
      </w:pPr>
    </w:lvl>
    <w:lvl w:ilvl="4" w:tplc="08090019" w:tentative="1">
      <w:start w:val="1"/>
      <w:numFmt w:val="lowerLetter"/>
      <w:lvlText w:val="%5."/>
      <w:lvlJc w:val="left"/>
      <w:pPr>
        <w:ind w:left="3740" w:hanging="360"/>
      </w:pPr>
    </w:lvl>
    <w:lvl w:ilvl="5" w:tplc="0809001B" w:tentative="1">
      <w:start w:val="1"/>
      <w:numFmt w:val="lowerRoman"/>
      <w:lvlText w:val="%6."/>
      <w:lvlJc w:val="right"/>
      <w:pPr>
        <w:ind w:left="4460" w:hanging="180"/>
      </w:pPr>
    </w:lvl>
    <w:lvl w:ilvl="6" w:tplc="0809000F" w:tentative="1">
      <w:start w:val="1"/>
      <w:numFmt w:val="decimal"/>
      <w:lvlText w:val="%7."/>
      <w:lvlJc w:val="left"/>
      <w:pPr>
        <w:ind w:left="5180" w:hanging="360"/>
      </w:pPr>
    </w:lvl>
    <w:lvl w:ilvl="7" w:tplc="08090019" w:tentative="1">
      <w:start w:val="1"/>
      <w:numFmt w:val="lowerLetter"/>
      <w:lvlText w:val="%8."/>
      <w:lvlJc w:val="left"/>
      <w:pPr>
        <w:ind w:left="5900" w:hanging="360"/>
      </w:pPr>
    </w:lvl>
    <w:lvl w:ilvl="8" w:tplc="0809001B" w:tentative="1">
      <w:start w:val="1"/>
      <w:numFmt w:val="lowerRoman"/>
      <w:lvlText w:val="%9."/>
      <w:lvlJc w:val="right"/>
      <w:pPr>
        <w:ind w:left="6620" w:hanging="180"/>
      </w:pPr>
    </w:lvl>
  </w:abstractNum>
  <w:abstractNum w:abstractNumId="17" w15:restartNumberingAfterBreak="0">
    <w:nsid w:val="311C2C8F"/>
    <w:multiLevelType w:val="multilevel"/>
    <w:tmpl w:val="384042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2900F9"/>
    <w:multiLevelType w:val="hybridMultilevel"/>
    <w:tmpl w:val="1668F9AC"/>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9" w15:restartNumberingAfterBreak="0">
    <w:nsid w:val="33E463E3"/>
    <w:multiLevelType w:val="hybridMultilevel"/>
    <w:tmpl w:val="6CAC6904"/>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352C0BEC"/>
    <w:multiLevelType w:val="hybridMultilevel"/>
    <w:tmpl w:val="5192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C83F92"/>
    <w:multiLevelType w:val="hybridMultilevel"/>
    <w:tmpl w:val="824C294A"/>
    <w:lvl w:ilvl="0" w:tplc="C526BD36">
      <w:start w:val="1"/>
      <w:numFmt w:val="decimal"/>
      <w:lvlText w:val="%1."/>
      <w:lvlJc w:val="left"/>
      <w:pPr>
        <w:ind w:left="360" w:hanging="360"/>
      </w:pPr>
      <w:rPr>
        <w:rFonts w:hint="default"/>
        <w:b/>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CF25C46"/>
    <w:multiLevelType w:val="multilevel"/>
    <w:tmpl w:val="A5DC7D7A"/>
    <w:lvl w:ilvl="0">
      <w:start w:val="1"/>
      <w:numFmt w:val="bullet"/>
      <w:lvlText w:val=""/>
      <w:lvlJc w:val="left"/>
      <w:pPr>
        <w:ind w:left="720" w:hanging="360"/>
      </w:pPr>
      <w:rPr>
        <w:rFonts w:ascii="Symbol" w:hAnsi="Symbol" w:hint="default"/>
      </w:rPr>
    </w:lvl>
    <w:lvl w:ilvl="1">
      <w:start w:val="1"/>
      <w:numFmt w:val="decimal"/>
      <w:isLgl/>
      <w:lvlText w:val="%1.%2"/>
      <w:lvlJc w:val="left"/>
      <w:pPr>
        <w:ind w:left="1014" w:hanging="730"/>
      </w:pPr>
      <w:rPr>
        <w:rFonts w:hint="default"/>
        <w:b w:val="0"/>
        <w:bCs w:val="0"/>
        <w:sz w:val="24"/>
        <w:szCs w:val="24"/>
      </w:rPr>
    </w:lvl>
    <w:lvl w:ilvl="2">
      <w:start w:val="1"/>
      <w:numFmt w:val="decimal"/>
      <w:isLgl/>
      <w:lvlText w:val="%1.%2.%3"/>
      <w:lvlJc w:val="left"/>
      <w:pPr>
        <w:ind w:left="1090" w:hanging="7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6A3EE6"/>
    <w:multiLevelType w:val="hybridMultilevel"/>
    <w:tmpl w:val="67081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F44B3E"/>
    <w:multiLevelType w:val="multilevel"/>
    <w:tmpl w:val="BB94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A6D1A"/>
    <w:multiLevelType w:val="hybridMultilevel"/>
    <w:tmpl w:val="7D548A0E"/>
    <w:lvl w:ilvl="0" w:tplc="35045BFE">
      <w:start w:val="1"/>
      <w:numFmt w:val="decimal"/>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C12CFF"/>
    <w:multiLevelType w:val="hybridMultilevel"/>
    <w:tmpl w:val="E97AB1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2C7493"/>
    <w:multiLevelType w:val="hybridMultilevel"/>
    <w:tmpl w:val="1846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C05B05"/>
    <w:multiLevelType w:val="hybridMultilevel"/>
    <w:tmpl w:val="52447980"/>
    <w:lvl w:ilvl="0" w:tplc="08090001">
      <w:start w:val="1"/>
      <w:numFmt w:val="bullet"/>
      <w:lvlText w:val=""/>
      <w:lvlJc w:val="left"/>
      <w:pPr>
        <w:ind w:left="1270" w:hanging="360"/>
      </w:pPr>
      <w:rPr>
        <w:rFonts w:ascii="Symbol" w:hAnsi="Symbol" w:hint="default"/>
      </w:rPr>
    </w:lvl>
    <w:lvl w:ilvl="1" w:tplc="08090003" w:tentative="1">
      <w:start w:val="1"/>
      <w:numFmt w:val="bullet"/>
      <w:lvlText w:val="o"/>
      <w:lvlJc w:val="left"/>
      <w:pPr>
        <w:ind w:left="1990" w:hanging="360"/>
      </w:pPr>
      <w:rPr>
        <w:rFonts w:ascii="Courier New" w:hAnsi="Courier New" w:cs="Courier New" w:hint="default"/>
      </w:rPr>
    </w:lvl>
    <w:lvl w:ilvl="2" w:tplc="08090005" w:tentative="1">
      <w:start w:val="1"/>
      <w:numFmt w:val="bullet"/>
      <w:lvlText w:val=""/>
      <w:lvlJc w:val="left"/>
      <w:pPr>
        <w:ind w:left="2710" w:hanging="360"/>
      </w:pPr>
      <w:rPr>
        <w:rFonts w:ascii="Wingdings" w:hAnsi="Wingdings" w:hint="default"/>
      </w:rPr>
    </w:lvl>
    <w:lvl w:ilvl="3" w:tplc="08090001" w:tentative="1">
      <w:start w:val="1"/>
      <w:numFmt w:val="bullet"/>
      <w:lvlText w:val=""/>
      <w:lvlJc w:val="left"/>
      <w:pPr>
        <w:ind w:left="3430" w:hanging="360"/>
      </w:pPr>
      <w:rPr>
        <w:rFonts w:ascii="Symbol" w:hAnsi="Symbol" w:hint="default"/>
      </w:rPr>
    </w:lvl>
    <w:lvl w:ilvl="4" w:tplc="08090003" w:tentative="1">
      <w:start w:val="1"/>
      <w:numFmt w:val="bullet"/>
      <w:lvlText w:val="o"/>
      <w:lvlJc w:val="left"/>
      <w:pPr>
        <w:ind w:left="4150" w:hanging="360"/>
      </w:pPr>
      <w:rPr>
        <w:rFonts w:ascii="Courier New" w:hAnsi="Courier New" w:cs="Courier New" w:hint="default"/>
      </w:rPr>
    </w:lvl>
    <w:lvl w:ilvl="5" w:tplc="08090005" w:tentative="1">
      <w:start w:val="1"/>
      <w:numFmt w:val="bullet"/>
      <w:lvlText w:val=""/>
      <w:lvlJc w:val="left"/>
      <w:pPr>
        <w:ind w:left="4870" w:hanging="360"/>
      </w:pPr>
      <w:rPr>
        <w:rFonts w:ascii="Wingdings" w:hAnsi="Wingdings" w:hint="default"/>
      </w:rPr>
    </w:lvl>
    <w:lvl w:ilvl="6" w:tplc="08090001" w:tentative="1">
      <w:start w:val="1"/>
      <w:numFmt w:val="bullet"/>
      <w:lvlText w:val=""/>
      <w:lvlJc w:val="left"/>
      <w:pPr>
        <w:ind w:left="5590" w:hanging="360"/>
      </w:pPr>
      <w:rPr>
        <w:rFonts w:ascii="Symbol" w:hAnsi="Symbol" w:hint="default"/>
      </w:rPr>
    </w:lvl>
    <w:lvl w:ilvl="7" w:tplc="08090003" w:tentative="1">
      <w:start w:val="1"/>
      <w:numFmt w:val="bullet"/>
      <w:lvlText w:val="o"/>
      <w:lvlJc w:val="left"/>
      <w:pPr>
        <w:ind w:left="6310" w:hanging="360"/>
      </w:pPr>
      <w:rPr>
        <w:rFonts w:ascii="Courier New" w:hAnsi="Courier New" w:cs="Courier New" w:hint="default"/>
      </w:rPr>
    </w:lvl>
    <w:lvl w:ilvl="8" w:tplc="08090005" w:tentative="1">
      <w:start w:val="1"/>
      <w:numFmt w:val="bullet"/>
      <w:lvlText w:val=""/>
      <w:lvlJc w:val="left"/>
      <w:pPr>
        <w:ind w:left="7030" w:hanging="360"/>
      </w:pPr>
      <w:rPr>
        <w:rFonts w:ascii="Wingdings" w:hAnsi="Wingdings" w:hint="default"/>
      </w:rPr>
    </w:lvl>
  </w:abstractNum>
  <w:abstractNum w:abstractNumId="29" w15:restartNumberingAfterBreak="0">
    <w:nsid w:val="585D286F"/>
    <w:multiLevelType w:val="multilevel"/>
    <w:tmpl w:val="D77C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436933"/>
    <w:multiLevelType w:val="hybridMultilevel"/>
    <w:tmpl w:val="1AB85690"/>
    <w:lvl w:ilvl="0" w:tplc="08090001">
      <w:start w:val="1"/>
      <w:numFmt w:val="bullet"/>
      <w:lvlText w:val=""/>
      <w:lvlJc w:val="left"/>
      <w:pPr>
        <w:ind w:left="1587" w:hanging="360"/>
      </w:pPr>
      <w:rPr>
        <w:rFonts w:ascii="Symbol" w:hAnsi="Symbol" w:hint="default"/>
      </w:rPr>
    </w:lvl>
    <w:lvl w:ilvl="1" w:tplc="08090003" w:tentative="1">
      <w:start w:val="1"/>
      <w:numFmt w:val="bullet"/>
      <w:lvlText w:val="o"/>
      <w:lvlJc w:val="left"/>
      <w:pPr>
        <w:ind w:left="2307" w:hanging="360"/>
      </w:pPr>
      <w:rPr>
        <w:rFonts w:ascii="Courier New" w:hAnsi="Courier New" w:cs="Courier New" w:hint="default"/>
      </w:rPr>
    </w:lvl>
    <w:lvl w:ilvl="2" w:tplc="08090005" w:tentative="1">
      <w:start w:val="1"/>
      <w:numFmt w:val="bullet"/>
      <w:lvlText w:val=""/>
      <w:lvlJc w:val="left"/>
      <w:pPr>
        <w:ind w:left="3027" w:hanging="360"/>
      </w:pPr>
      <w:rPr>
        <w:rFonts w:ascii="Wingdings" w:hAnsi="Wingdings" w:hint="default"/>
      </w:rPr>
    </w:lvl>
    <w:lvl w:ilvl="3" w:tplc="08090001" w:tentative="1">
      <w:start w:val="1"/>
      <w:numFmt w:val="bullet"/>
      <w:lvlText w:val=""/>
      <w:lvlJc w:val="left"/>
      <w:pPr>
        <w:ind w:left="3747" w:hanging="360"/>
      </w:pPr>
      <w:rPr>
        <w:rFonts w:ascii="Symbol" w:hAnsi="Symbol" w:hint="default"/>
      </w:rPr>
    </w:lvl>
    <w:lvl w:ilvl="4" w:tplc="08090003" w:tentative="1">
      <w:start w:val="1"/>
      <w:numFmt w:val="bullet"/>
      <w:lvlText w:val="o"/>
      <w:lvlJc w:val="left"/>
      <w:pPr>
        <w:ind w:left="4467" w:hanging="360"/>
      </w:pPr>
      <w:rPr>
        <w:rFonts w:ascii="Courier New" w:hAnsi="Courier New" w:cs="Courier New" w:hint="default"/>
      </w:rPr>
    </w:lvl>
    <w:lvl w:ilvl="5" w:tplc="08090005" w:tentative="1">
      <w:start w:val="1"/>
      <w:numFmt w:val="bullet"/>
      <w:lvlText w:val=""/>
      <w:lvlJc w:val="left"/>
      <w:pPr>
        <w:ind w:left="5187" w:hanging="360"/>
      </w:pPr>
      <w:rPr>
        <w:rFonts w:ascii="Wingdings" w:hAnsi="Wingdings" w:hint="default"/>
      </w:rPr>
    </w:lvl>
    <w:lvl w:ilvl="6" w:tplc="08090001" w:tentative="1">
      <w:start w:val="1"/>
      <w:numFmt w:val="bullet"/>
      <w:lvlText w:val=""/>
      <w:lvlJc w:val="left"/>
      <w:pPr>
        <w:ind w:left="5907" w:hanging="360"/>
      </w:pPr>
      <w:rPr>
        <w:rFonts w:ascii="Symbol" w:hAnsi="Symbol" w:hint="default"/>
      </w:rPr>
    </w:lvl>
    <w:lvl w:ilvl="7" w:tplc="08090003" w:tentative="1">
      <w:start w:val="1"/>
      <w:numFmt w:val="bullet"/>
      <w:lvlText w:val="o"/>
      <w:lvlJc w:val="left"/>
      <w:pPr>
        <w:ind w:left="6627" w:hanging="360"/>
      </w:pPr>
      <w:rPr>
        <w:rFonts w:ascii="Courier New" w:hAnsi="Courier New" w:cs="Courier New" w:hint="default"/>
      </w:rPr>
    </w:lvl>
    <w:lvl w:ilvl="8" w:tplc="08090005" w:tentative="1">
      <w:start w:val="1"/>
      <w:numFmt w:val="bullet"/>
      <w:lvlText w:val=""/>
      <w:lvlJc w:val="left"/>
      <w:pPr>
        <w:ind w:left="7347" w:hanging="360"/>
      </w:pPr>
      <w:rPr>
        <w:rFonts w:ascii="Wingdings" w:hAnsi="Wingdings" w:hint="default"/>
      </w:rPr>
    </w:lvl>
  </w:abstractNum>
  <w:abstractNum w:abstractNumId="31" w15:restartNumberingAfterBreak="0">
    <w:nsid w:val="5D86316B"/>
    <w:multiLevelType w:val="hybridMultilevel"/>
    <w:tmpl w:val="399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E56681"/>
    <w:multiLevelType w:val="multilevel"/>
    <w:tmpl w:val="5DFA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277ADD"/>
    <w:multiLevelType w:val="multilevel"/>
    <w:tmpl w:val="7498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32497D"/>
    <w:multiLevelType w:val="multilevel"/>
    <w:tmpl w:val="E312B46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751EEB"/>
    <w:multiLevelType w:val="hybridMultilevel"/>
    <w:tmpl w:val="6C44CBE0"/>
    <w:lvl w:ilvl="0" w:tplc="08090001">
      <w:start w:val="1"/>
      <w:numFmt w:val="bullet"/>
      <w:lvlText w:val=""/>
      <w:lvlJc w:val="left"/>
      <w:pPr>
        <w:ind w:left="1318" w:hanging="360"/>
      </w:pPr>
      <w:rPr>
        <w:rFonts w:ascii="Symbol" w:hAnsi="Symbol"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36" w15:restartNumberingAfterBreak="0">
    <w:nsid w:val="7B7D47FF"/>
    <w:multiLevelType w:val="hybridMultilevel"/>
    <w:tmpl w:val="6D4A1B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7F936D26"/>
    <w:multiLevelType w:val="multilevel"/>
    <w:tmpl w:val="503E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539176">
    <w:abstractNumId w:val="2"/>
  </w:num>
  <w:num w:numId="2" w16cid:durableId="1620335100">
    <w:abstractNumId w:val="10"/>
  </w:num>
  <w:num w:numId="3" w16cid:durableId="2018730291">
    <w:abstractNumId w:val="37"/>
  </w:num>
  <w:num w:numId="4" w16cid:durableId="277029301">
    <w:abstractNumId w:val="17"/>
  </w:num>
  <w:num w:numId="5" w16cid:durableId="1294217664">
    <w:abstractNumId w:val="29"/>
  </w:num>
  <w:num w:numId="6" w16cid:durableId="1141314204">
    <w:abstractNumId w:val="16"/>
  </w:num>
  <w:num w:numId="7" w16cid:durableId="631902863">
    <w:abstractNumId w:val="21"/>
  </w:num>
  <w:num w:numId="8" w16cid:durableId="388841316">
    <w:abstractNumId w:val="15"/>
  </w:num>
  <w:num w:numId="9" w16cid:durableId="1168135560">
    <w:abstractNumId w:val="0"/>
  </w:num>
  <w:num w:numId="10" w16cid:durableId="1892615959">
    <w:abstractNumId w:val="4"/>
  </w:num>
  <w:num w:numId="11" w16cid:durableId="1434940567">
    <w:abstractNumId w:val="11"/>
  </w:num>
  <w:num w:numId="12" w16cid:durableId="2132672891">
    <w:abstractNumId w:val="14"/>
  </w:num>
  <w:num w:numId="13" w16cid:durableId="1555660017">
    <w:abstractNumId w:val="33"/>
  </w:num>
  <w:num w:numId="14" w16cid:durableId="467554770">
    <w:abstractNumId w:val="3"/>
  </w:num>
  <w:num w:numId="15" w16cid:durableId="14819067">
    <w:abstractNumId w:val="19"/>
  </w:num>
  <w:num w:numId="16" w16cid:durableId="1167135128">
    <w:abstractNumId w:val="13"/>
  </w:num>
  <w:num w:numId="17" w16cid:durableId="758788974">
    <w:abstractNumId w:val="18"/>
  </w:num>
  <w:num w:numId="18" w16cid:durableId="679741003">
    <w:abstractNumId w:val="9"/>
  </w:num>
  <w:num w:numId="19" w16cid:durableId="1260990728">
    <w:abstractNumId w:val="25"/>
  </w:num>
  <w:num w:numId="20" w16cid:durableId="715393386">
    <w:abstractNumId w:val="26"/>
  </w:num>
  <w:num w:numId="21" w16cid:durableId="1320617001">
    <w:abstractNumId w:val="24"/>
  </w:num>
  <w:num w:numId="22" w16cid:durableId="377820947">
    <w:abstractNumId w:val="30"/>
  </w:num>
  <w:num w:numId="23" w16cid:durableId="164639664">
    <w:abstractNumId w:val="8"/>
  </w:num>
  <w:num w:numId="24" w16cid:durableId="2126994474">
    <w:abstractNumId w:val="36"/>
  </w:num>
  <w:num w:numId="25" w16cid:durableId="1401366083">
    <w:abstractNumId w:val="6"/>
  </w:num>
  <w:num w:numId="26" w16cid:durableId="1009059447">
    <w:abstractNumId w:val="12"/>
  </w:num>
  <w:num w:numId="27" w16cid:durableId="887255171">
    <w:abstractNumId w:val="7"/>
  </w:num>
  <w:num w:numId="28" w16cid:durableId="1509949813">
    <w:abstractNumId w:val="1"/>
  </w:num>
  <w:num w:numId="29" w16cid:durableId="2047170505">
    <w:abstractNumId w:val="5"/>
  </w:num>
  <w:num w:numId="30" w16cid:durableId="2038502926">
    <w:abstractNumId w:val="28"/>
  </w:num>
  <w:num w:numId="31" w16cid:durableId="1611205895">
    <w:abstractNumId w:val="35"/>
  </w:num>
  <w:num w:numId="32" w16cid:durableId="1652365934">
    <w:abstractNumId w:val="34"/>
  </w:num>
  <w:num w:numId="33" w16cid:durableId="1307779185">
    <w:abstractNumId w:val="32"/>
  </w:num>
  <w:num w:numId="34" w16cid:durableId="986082896">
    <w:abstractNumId w:val="22"/>
  </w:num>
  <w:num w:numId="35" w16cid:durableId="1909000473">
    <w:abstractNumId w:val="20"/>
  </w:num>
  <w:num w:numId="36" w16cid:durableId="1359426578">
    <w:abstractNumId w:val="27"/>
  </w:num>
  <w:num w:numId="37" w16cid:durableId="1015689643">
    <w:abstractNumId w:val="23"/>
  </w:num>
  <w:num w:numId="38" w16cid:durableId="16627341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OF5XhBp+zIRuO/4opmWTKWUuZgcadnpIW6oplGB9xLgIqZ5nUuSogSqy47dZ7WCjPbVJEpSxqm7+g51FO2Og==" w:salt="KdMnuxmqJNDVBTnrlGSM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F99"/>
    <w:rsid w:val="00024988"/>
    <w:rsid w:val="00031DFD"/>
    <w:rsid w:val="000331DF"/>
    <w:rsid w:val="00046FD1"/>
    <w:rsid w:val="00052E6C"/>
    <w:rsid w:val="00064BEC"/>
    <w:rsid w:val="000838DD"/>
    <w:rsid w:val="00092202"/>
    <w:rsid w:val="00095B3A"/>
    <w:rsid w:val="000973DF"/>
    <w:rsid w:val="000A0E6F"/>
    <w:rsid w:val="000A503C"/>
    <w:rsid w:val="000B510B"/>
    <w:rsid w:val="000C251E"/>
    <w:rsid w:val="000E3C40"/>
    <w:rsid w:val="000E6B27"/>
    <w:rsid w:val="000F504B"/>
    <w:rsid w:val="0010299B"/>
    <w:rsid w:val="00110736"/>
    <w:rsid w:val="00113BD5"/>
    <w:rsid w:val="001207B0"/>
    <w:rsid w:val="00144D61"/>
    <w:rsid w:val="001471DF"/>
    <w:rsid w:val="0015495E"/>
    <w:rsid w:val="0015791D"/>
    <w:rsid w:val="00180A40"/>
    <w:rsid w:val="00186543"/>
    <w:rsid w:val="00186FCC"/>
    <w:rsid w:val="001974F1"/>
    <w:rsid w:val="001A260B"/>
    <w:rsid w:val="001A3A47"/>
    <w:rsid w:val="001D7628"/>
    <w:rsid w:val="001E1449"/>
    <w:rsid w:val="001E7B48"/>
    <w:rsid w:val="002049F0"/>
    <w:rsid w:val="002211FA"/>
    <w:rsid w:val="00234676"/>
    <w:rsid w:val="002402F5"/>
    <w:rsid w:val="002430C0"/>
    <w:rsid w:val="00264A22"/>
    <w:rsid w:val="00283970"/>
    <w:rsid w:val="002C1519"/>
    <w:rsid w:val="002D02E1"/>
    <w:rsid w:val="002D167C"/>
    <w:rsid w:val="002F4221"/>
    <w:rsid w:val="00313965"/>
    <w:rsid w:val="003405F9"/>
    <w:rsid w:val="00355D1E"/>
    <w:rsid w:val="003775D6"/>
    <w:rsid w:val="003938FE"/>
    <w:rsid w:val="00394EC9"/>
    <w:rsid w:val="00397ED8"/>
    <w:rsid w:val="003B5744"/>
    <w:rsid w:val="003B6F67"/>
    <w:rsid w:val="003E172B"/>
    <w:rsid w:val="0041745F"/>
    <w:rsid w:val="00432F8C"/>
    <w:rsid w:val="00441304"/>
    <w:rsid w:val="00461DD5"/>
    <w:rsid w:val="00462EDB"/>
    <w:rsid w:val="00491671"/>
    <w:rsid w:val="004B2699"/>
    <w:rsid w:val="004E3AC2"/>
    <w:rsid w:val="004E7D6C"/>
    <w:rsid w:val="00515473"/>
    <w:rsid w:val="00517487"/>
    <w:rsid w:val="005412DD"/>
    <w:rsid w:val="00542007"/>
    <w:rsid w:val="00545CAF"/>
    <w:rsid w:val="0055475E"/>
    <w:rsid w:val="00555836"/>
    <w:rsid w:val="005717F2"/>
    <w:rsid w:val="00581A86"/>
    <w:rsid w:val="00585DCC"/>
    <w:rsid w:val="0058790F"/>
    <w:rsid w:val="00591F99"/>
    <w:rsid w:val="006015FA"/>
    <w:rsid w:val="006173C7"/>
    <w:rsid w:val="00622A0D"/>
    <w:rsid w:val="00625E34"/>
    <w:rsid w:val="00640056"/>
    <w:rsid w:val="00650459"/>
    <w:rsid w:val="00675F8F"/>
    <w:rsid w:val="006945F6"/>
    <w:rsid w:val="006B2215"/>
    <w:rsid w:val="006B5D97"/>
    <w:rsid w:val="006C37BE"/>
    <w:rsid w:val="006D34D1"/>
    <w:rsid w:val="006F07AD"/>
    <w:rsid w:val="0070661C"/>
    <w:rsid w:val="0071038B"/>
    <w:rsid w:val="00713499"/>
    <w:rsid w:val="00715B79"/>
    <w:rsid w:val="007323BC"/>
    <w:rsid w:val="00732D6D"/>
    <w:rsid w:val="007418CE"/>
    <w:rsid w:val="00763594"/>
    <w:rsid w:val="0076412C"/>
    <w:rsid w:val="0079484C"/>
    <w:rsid w:val="00806575"/>
    <w:rsid w:val="00812C75"/>
    <w:rsid w:val="00823381"/>
    <w:rsid w:val="00826D1B"/>
    <w:rsid w:val="008355F7"/>
    <w:rsid w:val="00860684"/>
    <w:rsid w:val="00883FE2"/>
    <w:rsid w:val="00891D98"/>
    <w:rsid w:val="0089232D"/>
    <w:rsid w:val="008A3C57"/>
    <w:rsid w:val="008A7FB6"/>
    <w:rsid w:val="008C37C8"/>
    <w:rsid w:val="008D25F8"/>
    <w:rsid w:val="008D3C0E"/>
    <w:rsid w:val="008D527B"/>
    <w:rsid w:val="008F3848"/>
    <w:rsid w:val="0090308F"/>
    <w:rsid w:val="00903F12"/>
    <w:rsid w:val="00904F5A"/>
    <w:rsid w:val="00943F80"/>
    <w:rsid w:val="00947BB0"/>
    <w:rsid w:val="00955577"/>
    <w:rsid w:val="00963D30"/>
    <w:rsid w:val="0097070F"/>
    <w:rsid w:val="00973EA3"/>
    <w:rsid w:val="0097432D"/>
    <w:rsid w:val="009966B5"/>
    <w:rsid w:val="009B2AD1"/>
    <w:rsid w:val="009B3D1D"/>
    <w:rsid w:val="009B532D"/>
    <w:rsid w:val="009B7A28"/>
    <w:rsid w:val="009C0342"/>
    <w:rsid w:val="009C20EB"/>
    <w:rsid w:val="009C5CDC"/>
    <w:rsid w:val="009E112E"/>
    <w:rsid w:val="00A10016"/>
    <w:rsid w:val="00A312A7"/>
    <w:rsid w:val="00A60C75"/>
    <w:rsid w:val="00A660C1"/>
    <w:rsid w:val="00A7100F"/>
    <w:rsid w:val="00A94DA3"/>
    <w:rsid w:val="00AA0014"/>
    <w:rsid w:val="00AE3CAB"/>
    <w:rsid w:val="00AE6145"/>
    <w:rsid w:val="00AF2905"/>
    <w:rsid w:val="00B13F44"/>
    <w:rsid w:val="00B40999"/>
    <w:rsid w:val="00B55289"/>
    <w:rsid w:val="00B602A5"/>
    <w:rsid w:val="00B6554A"/>
    <w:rsid w:val="00B77788"/>
    <w:rsid w:val="00B838F5"/>
    <w:rsid w:val="00BA63D1"/>
    <w:rsid w:val="00BB4BE3"/>
    <w:rsid w:val="00BC7C4E"/>
    <w:rsid w:val="00BE6E7E"/>
    <w:rsid w:val="00BF26AA"/>
    <w:rsid w:val="00C012B2"/>
    <w:rsid w:val="00C12211"/>
    <w:rsid w:val="00C22F6B"/>
    <w:rsid w:val="00C355E8"/>
    <w:rsid w:val="00C4207A"/>
    <w:rsid w:val="00C46A2A"/>
    <w:rsid w:val="00C57E77"/>
    <w:rsid w:val="00C64DDC"/>
    <w:rsid w:val="00C723D7"/>
    <w:rsid w:val="00C81321"/>
    <w:rsid w:val="00C951FC"/>
    <w:rsid w:val="00CA2C49"/>
    <w:rsid w:val="00CB6FF8"/>
    <w:rsid w:val="00CC30FB"/>
    <w:rsid w:val="00CD6E62"/>
    <w:rsid w:val="00CE0F4C"/>
    <w:rsid w:val="00CE1009"/>
    <w:rsid w:val="00CE3C81"/>
    <w:rsid w:val="00D17749"/>
    <w:rsid w:val="00D55536"/>
    <w:rsid w:val="00D705BF"/>
    <w:rsid w:val="00D74C53"/>
    <w:rsid w:val="00D84664"/>
    <w:rsid w:val="00D85804"/>
    <w:rsid w:val="00D95EB9"/>
    <w:rsid w:val="00DB2FD9"/>
    <w:rsid w:val="00DB7208"/>
    <w:rsid w:val="00DC7DBF"/>
    <w:rsid w:val="00DD527E"/>
    <w:rsid w:val="00DE45C0"/>
    <w:rsid w:val="00DE5A55"/>
    <w:rsid w:val="00DF268B"/>
    <w:rsid w:val="00DF3612"/>
    <w:rsid w:val="00E011BF"/>
    <w:rsid w:val="00E10D3C"/>
    <w:rsid w:val="00E16995"/>
    <w:rsid w:val="00E63A9C"/>
    <w:rsid w:val="00EB0791"/>
    <w:rsid w:val="00EC650D"/>
    <w:rsid w:val="00ED21A7"/>
    <w:rsid w:val="00ED6F95"/>
    <w:rsid w:val="00EE49CF"/>
    <w:rsid w:val="00EE66CA"/>
    <w:rsid w:val="00EE790F"/>
    <w:rsid w:val="00EF18B1"/>
    <w:rsid w:val="00EF78C9"/>
    <w:rsid w:val="00F10610"/>
    <w:rsid w:val="00F63FA7"/>
    <w:rsid w:val="00F9112A"/>
    <w:rsid w:val="00FB4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57B9D"/>
  <w15:chartTrackingRefBased/>
  <w15:docId w15:val="{424C9D8F-171A-42A5-993B-99EB184F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1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1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F99"/>
    <w:rPr>
      <w:rFonts w:eastAsiaTheme="majorEastAsia" w:cstheme="majorBidi"/>
      <w:color w:val="272727" w:themeColor="text1" w:themeTint="D8"/>
    </w:rPr>
  </w:style>
  <w:style w:type="paragraph" w:styleId="Title">
    <w:name w:val="Title"/>
    <w:basedOn w:val="Normal"/>
    <w:next w:val="Normal"/>
    <w:link w:val="TitleChar"/>
    <w:uiPriority w:val="10"/>
    <w:qFormat/>
    <w:rsid w:val="00591F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F99"/>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F99"/>
    <w:pPr>
      <w:spacing w:before="160"/>
      <w:jc w:val="center"/>
    </w:pPr>
    <w:rPr>
      <w:i/>
      <w:iCs/>
      <w:color w:val="404040" w:themeColor="text1" w:themeTint="BF"/>
    </w:rPr>
  </w:style>
  <w:style w:type="character" w:customStyle="1" w:styleId="QuoteChar">
    <w:name w:val="Quote Char"/>
    <w:basedOn w:val="DefaultParagraphFont"/>
    <w:link w:val="Quote"/>
    <w:uiPriority w:val="29"/>
    <w:rsid w:val="00591F99"/>
    <w:rPr>
      <w:i/>
      <w:iCs/>
      <w:color w:val="404040" w:themeColor="text1" w:themeTint="BF"/>
    </w:rPr>
  </w:style>
  <w:style w:type="paragraph" w:styleId="ListParagraph">
    <w:name w:val="List Paragraph"/>
    <w:basedOn w:val="Normal"/>
    <w:link w:val="ListParagraphChar"/>
    <w:uiPriority w:val="34"/>
    <w:qFormat/>
    <w:rsid w:val="00591F99"/>
    <w:pPr>
      <w:ind w:left="720"/>
      <w:contextualSpacing/>
    </w:pPr>
  </w:style>
  <w:style w:type="character" w:styleId="IntenseEmphasis">
    <w:name w:val="Intense Emphasis"/>
    <w:basedOn w:val="DefaultParagraphFont"/>
    <w:uiPriority w:val="21"/>
    <w:qFormat/>
    <w:rsid w:val="00591F99"/>
    <w:rPr>
      <w:i/>
      <w:iCs/>
      <w:color w:val="0F4761" w:themeColor="accent1" w:themeShade="BF"/>
    </w:rPr>
  </w:style>
  <w:style w:type="paragraph" w:styleId="IntenseQuote">
    <w:name w:val="Intense Quote"/>
    <w:basedOn w:val="Normal"/>
    <w:next w:val="Normal"/>
    <w:link w:val="IntenseQuoteChar"/>
    <w:uiPriority w:val="30"/>
    <w:qFormat/>
    <w:rsid w:val="00591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F99"/>
    <w:rPr>
      <w:i/>
      <w:iCs/>
      <w:color w:val="0F4761" w:themeColor="accent1" w:themeShade="BF"/>
    </w:rPr>
  </w:style>
  <w:style w:type="character" w:styleId="IntenseReference">
    <w:name w:val="Intense Reference"/>
    <w:basedOn w:val="DefaultParagraphFont"/>
    <w:uiPriority w:val="32"/>
    <w:qFormat/>
    <w:rsid w:val="00591F99"/>
    <w:rPr>
      <w:b/>
      <w:bCs/>
      <w:smallCaps/>
      <w:color w:val="0F4761" w:themeColor="accent1" w:themeShade="BF"/>
      <w:spacing w:val="5"/>
    </w:rPr>
  </w:style>
  <w:style w:type="paragraph" w:customStyle="1" w:styleId="paragraph">
    <w:name w:val="paragraph"/>
    <w:basedOn w:val="Normal"/>
    <w:rsid w:val="00591F9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91F99"/>
  </w:style>
  <w:style w:type="character" w:customStyle="1" w:styleId="eop">
    <w:name w:val="eop"/>
    <w:basedOn w:val="DefaultParagraphFont"/>
    <w:rsid w:val="00591F99"/>
  </w:style>
  <w:style w:type="paragraph" w:styleId="Header">
    <w:name w:val="header"/>
    <w:basedOn w:val="Normal"/>
    <w:link w:val="HeaderChar"/>
    <w:uiPriority w:val="99"/>
    <w:unhideWhenUsed/>
    <w:rsid w:val="000973DF"/>
    <w:pPr>
      <w:tabs>
        <w:tab w:val="center" w:pos="4513"/>
        <w:tab w:val="right" w:pos="9026"/>
      </w:tabs>
      <w:spacing w:after="0"/>
    </w:pPr>
  </w:style>
  <w:style w:type="character" w:customStyle="1" w:styleId="HeaderChar">
    <w:name w:val="Header Char"/>
    <w:basedOn w:val="DefaultParagraphFont"/>
    <w:link w:val="Header"/>
    <w:uiPriority w:val="99"/>
    <w:rsid w:val="000973DF"/>
  </w:style>
  <w:style w:type="paragraph" w:styleId="Footer">
    <w:name w:val="footer"/>
    <w:basedOn w:val="Normal"/>
    <w:link w:val="FooterChar"/>
    <w:uiPriority w:val="99"/>
    <w:unhideWhenUsed/>
    <w:rsid w:val="000973DF"/>
    <w:pPr>
      <w:tabs>
        <w:tab w:val="center" w:pos="4513"/>
        <w:tab w:val="right" w:pos="9026"/>
      </w:tabs>
      <w:spacing w:after="0"/>
    </w:pPr>
  </w:style>
  <w:style w:type="character" w:customStyle="1" w:styleId="FooterChar">
    <w:name w:val="Footer Char"/>
    <w:basedOn w:val="DefaultParagraphFont"/>
    <w:link w:val="Footer"/>
    <w:uiPriority w:val="99"/>
    <w:rsid w:val="000973DF"/>
  </w:style>
  <w:style w:type="paragraph" w:styleId="NoSpacing">
    <w:name w:val="No Spacing"/>
    <w:link w:val="NoSpacingChar"/>
    <w:uiPriority w:val="1"/>
    <w:qFormat/>
    <w:rsid w:val="00883FE2"/>
    <w:pPr>
      <w:spacing w:after="0"/>
    </w:pPr>
    <w:rPr>
      <w:kern w:val="0"/>
      <w:sz w:val="22"/>
      <w:szCs w:val="22"/>
      <w14:ligatures w14:val="none"/>
    </w:rPr>
  </w:style>
  <w:style w:type="character" w:customStyle="1" w:styleId="NoSpacingChar">
    <w:name w:val="No Spacing Char"/>
    <w:basedOn w:val="DefaultParagraphFont"/>
    <w:link w:val="NoSpacing"/>
    <w:uiPriority w:val="1"/>
    <w:rsid w:val="00883FE2"/>
    <w:rPr>
      <w:kern w:val="0"/>
      <w:sz w:val="22"/>
      <w:szCs w:val="22"/>
      <w14:ligatures w14:val="none"/>
    </w:rPr>
  </w:style>
  <w:style w:type="paragraph" w:styleId="NormalWeb">
    <w:name w:val="Normal (Web)"/>
    <w:basedOn w:val="Normal"/>
    <w:uiPriority w:val="99"/>
    <w:unhideWhenUsed/>
    <w:rsid w:val="00EF18B1"/>
    <w:pPr>
      <w:spacing w:before="100" w:beforeAutospacing="1" w:after="100" w:afterAutospacing="1"/>
      <w:ind w:left="0"/>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F4221"/>
    <w:rPr>
      <w:b/>
      <w:bCs/>
    </w:rPr>
  </w:style>
  <w:style w:type="character" w:customStyle="1" w:styleId="ListParagraphChar">
    <w:name w:val="List Paragraph Char"/>
    <w:link w:val="ListParagraph"/>
    <w:uiPriority w:val="34"/>
    <w:locked/>
    <w:rsid w:val="002C1519"/>
  </w:style>
  <w:style w:type="character" w:styleId="Emphasis">
    <w:name w:val="Emphasis"/>
    <w:basedOn w:val="DefaultParagraphFont"/>
    <w:uiPriority w:val="20"/>
    <w:qFormat/>
    <w:rsid w:val="00E16995"/>
    <w:rPr>
      <w:i/>
      <w:iCs/>
    </w:rPr>
  </w:style>
  <w:style w:type="character" w:styleId="CommentReference">
    <w:name w:val="annotation reference"/>
    <w:basedOn w:val="DefaultParagraphFont"/>
    <w:uiPriority w:val="99"/>
    <w:semiHidden/>
    <w:unhideWhenUsed/>
    <w:rsid w:val="000331DF"/>
    <w:rPr>
      <w:sz w:val="16"/>
      <w:szCs w:val="16"/>
    </w:rPr>
  </w:style>
  <w:style w:type="paragraph" w:styleId="CommentText">
    <w:name w:val="annotation text"/>
    <w:basedOn w:val="Normal"/>
    <w:link w:val="CommentTextChar"/>
    <w:uiPriority w:val="99"/>
    <w:unhideWhenUsed/>
    <w:rsid w:val="000331DF"/>
    <w:rPr>
      <w:sz w:val="20"/>
      <w:szCs w:val="20"/>
    </w:rPr>
  </w:style>
  <w:style w:type="character" w:customStyle="1" w:styleId="CommentTextChar">
    <w:name w:val="Comment Text Char"/>
    <w:basedOn w:val="DefaultParagraphFont"/>
    <w:link w:val="CommentText"/>
    <w:uiPriority w:val="99"/>
    <w:rsid w:val="000331DF"/>
    <w:rPr>
      <w:sz w:val="20"/>
      <w:szCs w:val="20"/>
    </w:rPr>
  </w:style>
  <w:style w:type="paragraph" w:styleId="CommentSubject">
    <w:name w:val="annotation subject"/>
    <w:basedOn w:val="CommentText"/>
    <w:next w:val="CommentText"/>
    <w:link w:val="CommentSubjectChar"/>
    <w:uiPriority w:val="99"/>
    <w:semiHidden/>
    <w:unhideWhenUsed/>
    <w:rsid w:val="000331DF"/>
    <w:rPr>
      <w:b/>
      <w:bCs/>
    </w:rPr>
  </w:style>
  <w:style w:type="character" w:customStyle="1" w:styleId="CommentSubjectChar">
    <w:name w:val="Comment Subject Char"/>
    <w:basedOn w:val="CommentTextChar"/>
    <w:link w:val="CommentSubject"/>
    <w:uiPriority w:val="99"/>
    <w:semiHidden/>
    <w:rsid w:val="000331DF"/>
    <w:rPr>
      <w:b/>
      <w:bCs/>
      <w:sz w:val="20"/>
      <w:szCs w:val="20"/>
    </w:rPr>
  </w:style>
  <w:style w:type="paragraph" w:styleId="Revision">
    <w:name w:val="Revision"/>
    <w:hidden/>
    <w:uiPriority w:val="99"/>
    <w:semiHidden/>
    <w:rsid w:val="00CB6FF8"/>
    <w:pPr>
      <w:spacing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4759">
      <w:bodyDiv w:val="1"/>
      <w:marLeft w:val="0"/>
      <w:marRight w:val="0"/>
      <w:marTop w:val="0"/>
      <w:marBottom w:val="0"/>
      <w:divBdr>
        <w:top w:val="none" w:sz="0" w:space="0" w:color="auto"/>
        <w:left w:val="none" w:sz="0" w:space="0" w:color="auto"/>
        <w:bottom w:val="none" w:sz="0" w:space="0" w:color="auto"/>
        <w:right w:val="none" w:sz="0" w:space="0" w:color="auto"/>
      </w:divBdr>
    </w:div>
    <w:div w:id="212470937">
      <w:bodyDiv w:val="1"/>
      <w:marLeft w:val="0"/>
      <w:marRight w:val="0"/>
      <w:marTop w:val="0"/>
      <w:marBottom w:val="0"/>
      <w:divBdr>
        <w:top w:val="none" w:sz="0" w:space="0" w:color="auto"/>
        <w:left w:val="none" w:sz="0" w:space="0" w:color="auto"/>
        <w:bottom w:val="none" w:sz="0" w:space="0" w:color="auto"/>
        <w:right w:val="none" w:sz="0" w:space="0" w:color="auto"/>
      </w:divBdr>
    </w:div>
    <w:div w:id="246234740">
      <w:bodyDiv w:val="1"/>
      <w:marLeft w:val="0"/>
      <w:marRight w:val="0"/>
      <w:marTop w:val="0"/>
      <w:marBottom w:val="0"/>
      <w:divBdr>
        <w:top w:val="none" w:sz="0" w:space="0" w:color="auto"/>
        <w:left w:val="none" w:sz="0" w:space="0" w:color="auto"/>
        <w:bottom w:val="none" w:sz="0" w:space="0" w:color="auto"/>
        <w:right w:val="none" w:sz="0" w:space="0" w:color="auto"/>
      </w:divBdr>
    </w:div>
    <w:div w:id="347102319">
      <w:bodyDiv w:val="1"/>
      <w:marLeft w:val="0"/>
      <w:marRight w:val="0"/>
      <w:marTop w:val="0"/>
      <w:marBottom w:val="0"/>
      <w:divBdr>
        <w:top w:val="none" w:sz="0" w:space="0" w:color="auto"/>
        <w:left w:val="none" w:sz="0" w:space="0" w:color="auto"/>
        <w:bottom w:val="none" w:sz="0" w:space="0" w:color="auto"/>
        <w:right w:val="none" w:sz="0" w:space="0" w:color="auto"/>
      </w:divBdr>
      <w:divsChild>
        <w:div w:id="908732963">
          <w:marLeft w:val="0"/>
          <w:marRight w:val="0"/>
          <w:marTop w:val="0"/>
          <w:marBottom w:val="0"/>
          <w:divBdr>
            <w:top w:val="none" w:sz="0" w:space="0" w:color="auto"/>
            <w:left w:val="none" w:sz="0" w:space="0" w:color="auto"/>
            <w:bottom w:val="none" w:sz="0" w:space="0" w:color="auto"/>
            <w:right w:val="none" w:sz="0" w:space="0" w:color="auto"/>
          </w:divBdr>
        </w:div>
      </w:divsChild>
    </w:div>
    <w:div w:id="469830490">
      <w:bodyDiv w:val="1"/>
      <w:marLeft w:val="0"/>
      <w:marRight w:val="0"/>
      <w:marTop w:val="0"/>
      <w:marBottom w:val="0"/>
      <w:divBdr>
        <w:top w:val="none" w:sz="0" w:space="0" w:color="auto"/>
        <w:left w:val="none" w:sz="0" w:space="0" w:color="auto"/>
        <w:bottom w:val="none" w:sz="0" w:space="0" w:color="auto"/>
        <w:right w:val="none" w:sz="0" w:space="0" w:color="auto"/>
      </w:divBdr>
    </w:div>
    <w:div w:id="494883246">
      <w:bodyDiv w:val="1"/>
      <w:marLeft w:val="0"/>
      <w:marRight w:val="0"/>
      <w:marTop w:val="0"/>
      <w:marBottom w:val="0"/>
      <w:divBdr>
        <w:top w:val="none" w:sz="0" w:space="0" w:color="auto"/>
        <w:left w:val="none" w:sz="0" w:space="0" w:color="auto"/>
        <w:bottom w:val="none" w:sz="0" w:space="0" w:color="auto"/>
        <w:right w:val="none" w:sz="0" w:space="0" w:color="auto"/>
      </w:divBdr>
      <w:divsChild>
        <w:div w:id="1107771157">
          <w:marLeft w:val="0"/>
          <w:marRight w:val="0"/>
          <w:marTop w:val="0"/>
          <w:marBottom w:val="0"/>
          <w:divBdr>
            <w:top w:val="none" w:sz="0" w:space="0" w:color="auto"/>
            <w:left w:val="none" w:sz="0" w:space="0" w:color="auto"/>
            <w:bottom w:val="none" w:sz="0" w:space="0" w:color="auto"/>
            <w:right w:val="none" w:sz="0" w:space="0" w:color="auto"/>
          </w:divBdr>
        </w:div>
      </w:divsChild>
    </w:div>
    <w:div w:id="572351886">
      <w:bodyDiv w:val="1"/>
      <w:marLeft w:val="0"/>
      <w:marRight w:val="0"/>
      <w:marTop w:val="0"/>
      <w:marBottom w:val="0"/>
      <w:divBdr>
        <w:top w:val="none" w:sz="0" w:space="0" w:color="auto"/>
        <w:left w:val="none" w:sz="0" w:space="0" w:color="auto"/>
        <w:bottom w:val="none" w:sz="0" w:space="0" w:color="auto"/>
        <w:right w:val="none" w:sz="0" w:space="0" w:color="auto"/>
      </w:divBdr>
    </w:div>
    <w:div w:id="590043140">
      <w:bodyDiv w:val="1"/>
      <w:marLeft w:val="0"/>
      <w:marRight w:val="0"/>
      <w:marTop w:val="0"/>
      <w:marBottom w:val="0"/>
      <w:divBdr>
        <w:top w:val="none" w:sz="0" w:space="0" w:color="auto"/>
        <w:left w:val="none" w:sz="0" w:space="0" w:color="auto"/>
        <w:bottom w:val="none" w:sz="0" w:space="0" w:color="auto"/>
        <w:right w:val="none" w:sz="0" w:space="0" w:color="auto"/>
      </w:divBdr>
    </w:div>
    <w:div w:id="623343590">
      <w:bodyDiv w:val="1"/>
      <w:marLeft w:val="0"/>
      <w:marRight w:val="0"/>
      <w:marTop w:val="0"/>
      <w:marBottom w:val="0"/>
      <w:divBdr>
        <w:top w:val="none" w:sz="0" w:space="0" w:color="auto"/>
        <w:left w:val="none" w:sz="0" w:space="0" w:color="auto"/>
        <w:bottom w:val="none" w:sz="0" w:space="0" w:color="auto"/>
        <w:right w:val="none" w:sz="0" w:space="0" w:color="auto"/>
      </w:divBdr>
    </w:div>
    <w:div w:id="638537540">
      <w:bodyDiv w:val="1"/>
      <w:marLeft w:val="0"/>
      <w:marRight w:val="0"/>
      <w:marTop w:val="0"/>
      <w:marBottom w:val="0"/>
      <w:divBdr>
        <w:top w:val="none" w:sz="0" w:space="0" w:color="auto"/>
        <w:left w:val="none" w:sz="0" w:space="0" w:color="auto"/>
        <w:bottom w:val="none" w:sz="0" w:space="0" w:color="auto"/>
        <w:right w:val="none" w:sz="0" w:space="0" w:color="auto"/>
      </w:divBdr>
      <w:divsChild>
        <w:div w:id="1480145775">
          <w:marLeft w:val="0"/>
          <w:marRight w:val="0"/>
          <w:marTop w:val="0"/>
          <w:marBottom w:val="0"/>
          <w:divBdr>
            <w:top w:val="none" w:sz="0" w:space="0" w:color="auto"/>
            <w:left w:val="none" w:sz="0" w:space="0" w:color="auto"/>
            <w:bottom w:val="none" w:sz="0" w:space="0" w:color="auto"/>
            <w:right w:val="none" w:sz="0" w:space="0" w:color="auto"/>
          </w:divBdr>
          <w:divsChild>
            <w:div w:id="669332022">
              <w:marLeft w:val="0"/>
              <w:marRight w:val="0"/>
              <w:marTop w:val="0"/>
              <w:marBottom w:val="0"/>
              <w:divBdr>
                <w:top w:val="none" w:sz="0" w:space="0" w:color="auto"/>
                <w:left w:val="none" w:sz="0" w:space="0" w:color="auto"/>
                <w:bottom w:val="none" w:sz="0" w:space="0" w:color="auto"/>
                <w:right w:val="none" w:sz="0" w:space="0" w:color="auto"/>
              </w:divBdr>
              <w:divsChild>
                <w:div w:id="312607101">
                  <w:marLeft w:val="0"/>
                  <w:marRight w:val="0"/>
                  <w:marTop w:val="0"/>
                  <w:marBottom w:val="0"/>
                  <w:divBdr>
                    <w:top w:val="none" w:sz="0" w:space="0" w:color="auto"/>
                    <w:left w:val="none" w:sz="0" w:space="0" w:color="auto"/>
                    <w:bottom w:val="none" w:sz="0" w:space="0" w:color="auto"/>
                    <w:right w:val="none" w:sz="0" w:space="0" w:color="auto"/>
                  </w:divBdr>
                  <w:divsChild>
                    <w:div w:id="1299185851">
                      <w:marLeft w:val="0"/>
                      <w:marRight w:val="0"/>
                      <w:marTop w:val="0"/>
                      <w:marBottom w:val="0"/>
                      <w:divBdr>
                        <w:top w:val="none" w:sz="0" w:space="0" w:color="auto"/>
                        <w:left w:val="none" w:sz="0" w:space="0" w:color="auto"/>
                        <w:bottom w:val="none" w:sz="0" w:space="0" w:color="auto"/>
                        <w:right w:val="none" w:sz="0" w:space="0" w:color="auto"/>
                      </w:divBdr>
                      <w:divsChild>
                        <w:div w:id="2132698928">
                          <w:marLeft w:val="0"/>
                          <w:marRight w:val="0"/>
                          <w:marTop w:val="0"/>
                          <w:marBottom w:val="0"/>
                          <w:divBdr>
                            <w:top w:val="none" w:sz="0" w:space="0" w:color="auto"/>
                            <w:left w:val="none" w:sz="0" w:space="0" w:color="auto"/>
                            <w:bottom w:val="none" w:sz="0" w:space="0" w:color="auto"/>
                            <w:right w:val="none" w:sz="0" w:space="0" w:color="auto"/>
                          </w:divBdr>
                          <w:divsChild>
                            <w:div w:id="325138045">
                              <w:marLeft w:val="0"/>
                              <w:marRight w:val="0"/>
                              <w:marTop w:val="0"/>
                              <w:marBottom w:val="0"/>
                              <w:divBdr>
                                <w:top w:val="none" w:sz="0" w:space="0" w:color="auto"/>
                                <w:left w:val="none" w:sz="0" w:space="0" w:color="auto"/>
                                <w:bottom w:val="none" w:sz="0" w:space="0" w:color="auto"/>
                                <w:right w:val="none" w:sz="0" w:space="0" w:color="auto"/>
                              </w:divBdr>
                              <w:divsChild>
                                <w:div w:id="412511824">
                                  <w:marLeft w:val="0"/>
                                  <w:marRight w:val="0"/>
                                  <w:marTop w:val="0"/>
                                  <w:marBottom w:val="0"/>
                                  <w:divBdr>
                                    <w:top w:val="none" w:sz="0" w:space="0" w:color="auto"/>
                                    <w:left w:val="none" w:sz="0" w:space="0" w:color="auto"/>
                                    <w:bottom w:val="none" w:sz="0" w:space="0" w:color="auto"/>
                                    <w:right w:val="none" w:sz="0" w:space="0" w:color="auto"/>
                                  </w:divBdr>
                                  <w:divsChild>
                                    <w:div w:id="72897079">
                                      <w:marLeft w:val="0"/>
                                      <w:marRight w:val="0"/>
                                      <w:marTop w:val="0"/>
                                      <w:marBottom w:val="0"/>
                                      <w:divBdr>
                                        <w:top w:val="none" w:sz="0" w:space="0" w:color="auto"/>
                                        <w:left w:val="none" w:sz="0" w:space="0" w:color="auto"/>
                                        <w:bottom w:val="none" w:sz="0" w:space="0" w:color="auto"/>
                                        <w:right w:val="none" w:sz="0" w:space="0" w:color="auto"/>
                                      </w:divBdr>
                                      <w:divsChild>
                                        <w:div w:id="16782030">
                                          <w:marLeft w:val="0"/>
                                          <w:marRight w:val="0"/>
                                          <w:marTop w:val="0"/>
                                          <w:marBottom w:val="0"/>
                                          <w:divBdr>
                                            <w:top w:val="none" w:sz="0" w:space="0" w:color="auto"/>
                                            <w:left w:val="none" w:sz="0" w:space="0" w:color="auto"/>
                                            <w:bottom w:val="none" w:sz="0" w:space="0" w:color="auto"/>
                                            <w:right w:val="none" w:sz="0" w:space="0" w:color="auto"/>
                                          </w:divBdr>
                                          <w:divsChild>
                                            <w:div w:id="4748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116099">
      <w:bodyDiv w:val="1"/>
      <w:marLeft w:val="0"/>
      <w:marRight w:val="0"/>
      <w:marTop w:val="0"/>
      <w:marBottom w:val="0"/>
      <w:divBdr>
        <w:top w:val="none" w:sz="0" w:space="0" w:color="auto"/>
        <w:left w:val="none" w:sz="0" w:space="0" w:color="auto"/>
        <w:bottom w:val="none" w:sz="0" w:space="0" w:color="auto"/>
        <w:right w:val="none" w:sz="0" w:space="0" w:color="auto"/>
      </w:divBdr>
    </w:div>
    <w:div w:id="829565736">
      <w:bodyDiv w:val="1"/>
      <w:marLeft w:val="0"/>
      <w:marRight w:val="0"/>
      <w:marTop w:val="0"/>
      <w:marBottom w:val="0"/>
      <w:divBdr>
        <w:top w:val="none" w:sz="0" w:space="0" w:color="auto"/>
        <w:left w:val="none" w:sz="0" w:space="0" w:color="auto"/>
        <w:bottom w:val="none" w:sz="0" w:space="0" w:color="auto"/>
        <w:right w:val="none" w:sz="0" w:space="0" w:color="auto"/>
      </w:divBdr>
    </w:div>
    <w:div w:id="848061020">
      <w:bodyDiv w:val="1"/>
      <w:marLeft w:val="0"/>
      <w:marRight w:val="0"/>
      <w:marTop w:val="0"/>
      <w:marBottom w:val="0"/>
      <w:divBdr>
        <w:top w:val="none" w:sz="0" w:space="0" w:color="auto"/>
        <w:left w:val="none" w:sz="0" w:space="0" w:color="auto"/>
        <w:bottom w:val="none" w:sz="0" w:space="0" w:color="auto"/>
        <w:right w:val="none" w:sz="0" w:space="0" w:color="auto"/>
      </w:divBdr>
      <w:divsChild>
        <w:div w:id="45221446">
          <w:marLeft w:val="0"/>
          <w:marRight w:val="0"/>
          <w:marTop w:val="0"/>
          <w:marBottom w:val="0"/>
          <w:divBdr>
            <w:top w:val="none" w:sz="0" w:space="0" w:color="auto"/>
            <w:left w:val="none" w:sz="0" w:space="0" w:color="auto"/>
            <w:bottom w:val="none" w:sz="0" w:space="0" w:color="auto"/>
            <w:right w:val="none" w:sz="0" w:space="0" w:color="auto"/>
          </w:divBdr>
        </w:div>
        <w:div w:id="1318803519">
          <w:marLeft w:val="0"/>
          <w:marRight w:val="0"/>
          <w:marTop w:val="0"/>
          <w:marBottom w:val="0"/>
          <w:divBdr>
            <w:top w:val="none" w:sz="0" w:space="0" w:color="auto"/>
            <w:left w:val="none" w:sz="0" w:space="0" w:color="auto"/>
            <w:bottom w:val="none" w:sz="0" w:space="0" w:color="auto"/>
            <w:right w:val="none" w:sz="0" w:space="0" w:color="auto"/>
          </w:divBdr>
        </w:div>
      </w:divsChild>
    </w:div>
    <w:div w:id="904953743">
      <w:bodyDiv w:val="1"/>
      <w:marLeft w:val="0"/>
      <w:marRight w:val="0"/>
      <w:marTop w:val="0"/>
      <w:marBottom w:val="0"/>
      <w:divBdr>
        <w:top w:val="none" w:sz="0" w:space="0" w:color="auto"/>
        <w:left w:val="none" w:sz="0" w:space="0" w:color="auto"/>
        <w:bottom w:val="none" w:sz="0" w:space="0" w:color="auto"/>
        <w:right w:val="none" w:sz="0" w:space="0" w:color="auto"/>
      </w:divBdr>
    </w:div>
    <w:div w:id="1047528375">
      <w:bodyDiv w:val="1"/>
      <w:marLeft w:val="0"/>
      <w:marRight w:val="0"/>
      <w:marTop w:val="0"/>
      <w:marBottom w:val="0"/>
      <w:divBdr>
        <w:top w:val="none" w:sz="0" w:space="0" w:color="auto"/>
        <w:left w:val="none" w:sz="0" w:space="0" w:color="auto"/>
        <w:bottom w:val="none" w:sz="0" w:space="0" w:color="auto"/>
        <w:right w:val="none" w:sz="0" w:space="0" w:color="auto"/>
      </w:divBdr>
    </w:div>
    <w:div w:id="1074399037">
      <w:bodyDiv w:val="1"/>
      <w:marLeft w:val="0"/>
      <w:marRight w:val="0"/>
      <w:marTop w:val="0"/>
      <w:marBottom w:val="0"/>
      <w:divBdr>
        <w:top w:val="none" w:sz="0" w:space="0" w:color="auto"/>
        <w:left w:val="none" w:sz="0" w:space="0" w:color="auto"/>
        <w:bottom w:val="none" w:sz="0" w:space="0" w:color="auto"/>
        <w:right w:val="none" w:sz="0" w:space="0" w:color="auto"/>
      </w:divBdr>
    </w:div>
    <w:div w:id="1078405367">
      <w:bodyDiv w:val="1"/>
      <w:marLeft w:val="0"/>
      <w:marRight w:val="0"/>
      <w:marTop w:val="0"/>
      <w:marBottom w:val="0"/>
      <w:divBdr>
        <w:top w:val="none" w:sz="0" w:space="0" w:color="auto"/>
        <w:left w:val="none" w:sz="0" w:space="0" w:color="auto"/>
        <w:bottom w:val="none" w:sz="0" w:space="0" w:color="auto"/>
        <w:right w:val="none" w:sz="0" w:space="0" w:color="auto"/>
      </w:divBdr>
    </w:div>
    <w:div w:id="1098911745">
      <w:bodyDiv w:val="1"/>
      <w:marLeft w:val="0"/>
      <w:marRight w:val="0"/>
      <w:marTop w:val="0"/>
      <w:marBottom w:val="0"/>
      <w:divBdr>
        <w:top w:val="none" w:sz="0" w:space="0" w:color="auto"/>
        <w:left w:val="none" w:sz="0" w:space="0" w:color="auto"/>
        <w:bottom w:val="none" w:sz="0" w:space="0" w:color="auto"/>
        <w:right w:val="none" w:sz="0" w:space="0" w:color="auto"/>
      </w:divBdr>
    </w:div>
    <w:div w:id="1174223693">
      <w:bodyDiv w:val="1"/>
      <w:marLeft w:val="0"/>
      <w:marRight w:val="0"/>
      <w:marTop w:val="0"/>
      <w:marBottom w:val="0"/>
      <w:divBdr>
        <w:top w:val="none" w:sz="0" w:space="0" w:color="auto"/>
        <w:left w:val="none" w:sz="0" w:space="0" w:color="auto"/>
        <w:bottom w:val="none" w:sz="0" w:space="0" w:color="auto"/>
        <w:right w:val="none" w:sz="0" w:space="0" w:color="auto"/>
      </w:divBdr>
    </w:div>
    <w:div w:id="1347825537">
      <w:bodyDiv w:val="1"/>
      <w:marLeft w:val="0"/>
      <w:marRight w:val="0"/>
      <w:marTop w:val="0"/>
      <w:marBottom w:val="0"/>
      <w:divBdr>
        <w:top w:val="none" w:sz="0" w:space="0" w:color="auto"/>
        <w:left w:val="none" w:sz="0" w:space="0" w:color="auto"/>
        <w:bottom w:val="none" w:sz="0" w:space="0" w:color="auto"/>
        <w:right w:val="none" w:sz="0" w:space="0" w:color="auto"/>
      </w:divBdr>
    </w:div>
    <w:div w:id="1402362234">
      <w:bodyDiv w:val="1"/>
      <w:marLeft w:val="0"/>
      <w:marRight w:val="0"/>
      <w:marTop w:val="0"/>
      <w:marBottom w:val="0"/>
      <w:divBdr>
        <w:top w:val="none" w:sz="0" w:space="0" w:color="auto"/>
        <w:left w:val="none" w:sz="0" w:space="0" w:color="auto"/>
        <w:bottom w:val="none" w:sz="0" w:space="0" w:color="auto"/>
        <w:right w:val="none" w:sz="0" w:space="0" w:color="auto"/>
      </w:divBdr>
    </w:div>
    <w:div w:id="1524054840">
      <w:bodyDiv w:val="1"/>
      <w:marLeft w:val="0"/>
      <w:marRight w:val="0"/>
      <w:marTop w:val="0"/>
      <w:marBottom w:val="0"/>
      <w:divBdr>
        <w:top w:val="none" w:sz="0" w:space="0" w:color="auto"/>
        <w:left w:val="none" w:sz="0" w:space="0" w:color="auto"/>
        <w:bottom w:val="none" w:sz="0" w:space="0" w:color="auto"/>
        <w:right w:val="none" w:sz="0" w:space="0" w:color="auto"/>
      </w:divBdr>
    </w:div>
    <w:div w:id="1528367740">
      <w:bodyDiv w:val="1"/>
      <w:marLeft w:val="0"/>
      <w:marRight w:val="0"/>
      <w:marTop w:val="0"/>
      <w:marBottom w:val="0"/>
      <w:divBdr>
        <w:top w:val="none" w:sz="0" w:space="0" w:color="auto"/>
        <w:left w:val="none" w:sz="0" w:space="0" w:color="auto"/>
        <w:bottom w:val="none" w:sz="0" w:space="0" w:color="auto"/>
        <w:right w:val="none" w:sz="0" w:space="0" w:color="auto"/>
      </w:divBdr>
    </w:div>
    <w:div w:id="1615745850">
      <w:bodyDiv w:val="1"/>
      <w:marLeft w:val="0"/>
      <w:marRight w:val="0"/>
      <w:marTop w:val="0"/>
      <w:marBottom w:val="0"/>
      <w:divBdr>
        <w:top w:val="none" w:sz="0" w:space="0" w:color="auto"/>
        <w:left w:val="none" w:sz="0" w:space="0" w:color="auto"/>
        <w:bottom w:val="none" w:sz="0" w:space="0" w:color="auto"/>
        <w:right w:val="none" w:sz="0" w:space="0" w:color="auto"/>
      </w:divBdr>
    </w:div>
    <w:div w:id="1629893906">
      <w:bodyDiv w:val="1"/>
      <w:marLeft w:val="0"/>
      <w:marRight w:val="0"/>
      <w:marTop w:val="0"/>
      <w:marBottom w:val="0"/>
      <w:divBdr>
        <w:top w:val="none" w:sz="0" w:space="0" w:color="auto"/>
        <w:left w:val="none" w:sz="0" w:space="0" w:color="auto"/>
        <w:bottom w:val="none" w:sz="0" w:space="0" w:color="auto"/>
        <w:right w:val="none" w:sz="0" w:space="0" w:color="auto"/>
      </w:divBdr>
    </w:div>
    <w:div w:id="1691643283">
      <w:bodyDiv w:val="1"/>
      <w:marLeft w:val="0"/>
      <w:marRight w:val="0"/>
      <w:marTop w:val="0"/>
      <w:marBottom w:val="0"/>
      <w:divBdr>
        <w:top w:val="none" w:sz="0" w:space="0" w:color="auto"/>
        <w:left w:val="none" w:sz="0" w:space="0" w:color="auto"/>
        <w:bottom w:val="none" w:sz="0" w:space="0" w:color="auto"/>
        <w:right w:val="none" w:sz="0" w:space="0" w:color="auto"/>
      </w:divBdr>
    </w:div>
    <w:div w:id="1731686840">
      <w:bodyDiv w:val="1"/>
      <w:marLeft w:val="0"/>
      <w:marRight w:val="0"/>
      <w:marTop w:val="0"/>
      <w:marBottom w:val="0"/>
      <w:divBdr>
        <w:top w:val="none" w:sz="0" w:space="0" w:color="auto"/>
        <w:left w:val="none" w:sz="0" w:space="0" w:color="auto"/>
        <w:bottom w:val="none" w:sz="0" w:space="0" w:color="auto"/>
        <w:right w:val="none" w:sz="0" w:space="0" w:color="auto"/>
      </w:divBdr>
      <w:divsChild>
        <w:div w:id="2019623659">
          <w:marLeft w:val="0"/>
          <w:marRight w:val="0"/>
          <w:marTop w:val="0"/>
          <w:marBottom w:val="0"/>
          <w:divBdr>
            <w:top w:val="none" w:sz="0" w:space="0" w:color="auto"/>
            <w:left w:val="none" w:sz="0" w:space="0" w:color="auto"/>
            <w:bottom w:val="none" w:sz="0" w:space="0" w:color="auto"/>
            <w:right w:val="none" w:sz="0" w:space="0" w:color="auto"/>
          </w:divBdr>
        </w:div>
      </w:divsChild>
    </w:div>
    <w:div w:id="1768501909">
      <w:bodyDiv w:val="1"/>
      <w:marLeft w:val="0"/>
      <w:marRight w:val="0"/>
      <w:marTop w:val="0"/>
      <w:marBottom w:val="0"/>
      <w:divBdr>
        <w:top w:val="none" w:sz="0" w:space="0" w:color="auto"/>
        <w:left w:val="none" w:sz="0" w:space="0" w:color="auto"/>
        <w:bottom w:val="none" w:sz="0" w:space="0" w:color="auto"/>
        <w:right w:val="none" w:sz="0" w:space="0" w:color="auto"/>
      </w:divBdr>
      <w:divsChild>
        <w:div w:id="1091707902">
          <w:marLeft w:val="0"/>
          <w:marRight w:val="0"/>
          <w:marTop w:val="0"/>
          <w:marBottom w:val="0"/>
          <w:divBdr>
            <w:top w:val="none" w:sz="0" w:space="0" w:color="auto"/>
            <w:left w:val="none" w:sz="0" w:space="0" w:color="auto"/>
            <w:bottom w:val="none" w:sz="0" w:space="0" w:color="auto"/>
            <w:right w:val="none" w:sz="0" w:space="0" w:color="auto"/>
          </w:divBdr>
        </w:div>
      </w:divsChild>
    </w:div>
    <w:div w:id="1888494372">
      <w:bodyDiv w:val="1"/>
      <w:marLeft w:val="0"/>
      <w:marRight w:val="0"/>
      <w:marTop w:val="0"/>
      <w:marBottom w:val="0"/>
      <w:divBdr>
        <w:top w:val="none" w:sz="0" w:space="0" w:color="auto"/>
        <w:left w:val="none" w:sz="0" w:space="0" w:color="auto"/>
        <w:bottom w:val="none" w:sz="0" w:space="0" w:color="auto"/>
        <w:right w:val="none" w:sz="0" w:space="0" w:color="auto"/>
      </w:divBdr>
    </w:div>
    <w:div w:id="207423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chart" Target="charts/chart5.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Mean and Median Pay Gap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GPG!$A$33</c:f>
              <c:strCache>
                <c:ptCount val="1"/>
                <c:pt idx="0">
                  <c:v>Mean Pay Gap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GPG!$B$32:$D$32</c:f>
              <c:strCache>
                <c:ptCount val="3"/>
                <c:pt idx="0">
                  <c:v>22/23</c:v>
                </c:pt>
                <c:pt idx="1">
                  <c:v>23/24</c:v>
                </c:pt>
                <c:pt idx="2">
                  <c:v>24/25</c:v>
                </c:pt>
              </c:strCache>
            </c:strRef>
          </c:cat>
          <c:val>
            <c:numRef>
              <c:f>GPG!$B$33:$D$33</c:f>
              <c:numCache>
                <c:formatCode>General</c:formatCode>
                <c:ptCount val="3"/>
                <c:pt idx="0">
                  <c:v>26.46</c:v>
                </c:pt>
                <c:pt idx="1">
                  <c:v>25.71</c:v>
                </c:pt>
                <c:pt idx="2">
                  <c:v>25.74</c:v>
                </c:pt>
              </c:numCache>
            </c:numRef>
          </c:val>
          <c:extLst>
            <c:ext xmlns:c16="http://schemas.microsoft.com/office/drawing/2014/chart" uri="{C3380CC4-5D6E-409C-BE32-E72D297353CC}">
              <c16:uniqueId val="{00000000-4D50-49B7-821A-4F7A2130DFDF}"/>
            </c:ext>
          </c:extLst>
        </c:ser>
        <c:ser>
          <c:idx val="1"/>
          <c:order val="1"/>
          <c:tx>
            <c:strRef>
              <c:f>GPG!$A$34</c:f>
              <c:strCache>
                <c:ptCount val="1"/>
                <c:pt idx="0">
                  <c:v>Median Pay Gap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GPG!$B$32:$D$32</c:f>
              <c:strCache>
                <c:ptCount val="3"/>
                <c:pt idx="0">
                  <c:v>22/23</c:v>
                </c:pt>
                <c:pt idx="1">
                  <c:v>23/24</c:v>
                </c:pt>
                <c:pt idx="2">
                  <c:v>24/25</c:v>
                </c:pt>
              </c:strCache>
            </c:strRef>
          </c:cat>
          <c:val>
            <c:numRef>
              <c:f>GPG!$B$34:$D$34</c:f>
              <c:numCache>
                <c:formatCode>General</c:formatCode>
                <c:ptCount val="3"/>
                <c:pt idx="0">
                  <c:v>11.98</c:v>
                </c:pt>
                <c:pt idx="1">
                  <c:v>11.24</c:v>
                </c:pt>
                <c:pt idx="2">
                  <c:v>9.5399999999999991</c:v>
                </c:pt>
              </c:numCache>
            </c:numRef>
          </c:val>
          <c:extLst>
            <c:ext xmlns:c16="http://schemas.microsoft.com/office/drawing/2014/chart" uri="{C3380CC4-5D6E-409C-BE32-E72D297353CC}">
              <c16:uniqueId val="{00000001-4D50-49B7-821A-4F7A2130DFDF}"/>
            </c:ext>
          </c:extLst>
        </c:ser>
        <c:dLbls>
          <c:showLegendKey val="0"/>
          <c:showVal val="0"/>
          <c:showCatName val="0"/>
          <c:showSerName val="0"/>
          <c:showPercent val="0"/>
          <c:showBubbleSize val="0"/>
        </c:dLbls>
        <c:gapWidth val="219"/>
        <c:overlap val="-27"/>
        <c:axId val="867951279"/>
        <c:axId val="867951759"/>
      </c:barChart>
      <c:catAx>
        <c:axId val="867951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7951759"/>
        <c:crosses val="autoZero"/>
        <c:auto val="1"/>
        <c:lblAlgn val="ctr"/>
        <c:lblOffset val="100"/>
        <c:noMultiLvlLbl val="0"/>
      </c:catAx>
      <c:valAx>
        <c:axId val="867951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7951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Pay Gap Trend - All Staff</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strRef>
              <c:f>GPG!$A$105</c:f>
              <c:strCache>
                <c:ptCount val="1"/>
                <c:pt idx="0">
                  <c:v>Mean Pay Gap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GPG!$B$104:$F$104</c:f>
              <c:numCache>
                <c:formatCode>General</c:formatCode>
                <c:ptCount val="5"/>
                <c:pt idx="0">
                  <c:v>2021</c:v>
                </c:pt>
                <c:pt idx="1">
                  <c:v>2022</c:v>
                </c:pt>
                <c:pt idx="2">
                  <c:v>2023</c:v>
                </c:pt>
                <c:pt idx="3">
                  <c:v>2024</c:v>
                </c:pt>
                <c:pt idx="4">
                  <c:v>2025</c:v>
                </c:pt>
              </c:numCache>
            </c:numRef>
          </c:cat>
          <c:val>
            <c:numRef>
              <c:f>GPG!$B$105:$F$105</c:f>
              <c:numCache>
                <c:formatCode>General</c:formatCode>
                <c:ptCount val="5"/>
                <c:pt idx="0">
                  <c:v>27.13</c:v>
                </c:pt>
                <c:pt idx="1">
                  <c:v>26.11</c:v>
                </c:pt>
                <c:pt idx="2">
                  <c:v>26.46</c:v>
                </c:pt>
                <c:pt idx="3">
                  <c:v>25.71</c:v>
                </c:pt>
                <c:pt idx="4">
                  <c:v>25.74</c:v>
                </c:pt>
              </c:numCache>
            </c:numRef>
          </c:val>
          <c:smooth val="0"/>
          <c:extLst>
            <c:ext xmlns:c16="http://schemas.microsoft.com/office/drawing/2014/chart" uri="{C3380CC4-5D6E-409C-BE32-E72D297353CC}">
              <c16:uniqueId val="{00000000-40C9-4EA0-9641-5D2FB435C9AF}"/>
            </c:ext>
          </c:extLst>
        </c:ser>
        <c:ser>
          <c:idx val="2"/>
          <c:order val="1"/>
          <c:tx>
            <c:strRef>
              <c:f>GPG!$A$106</c:f>
              <c:strCache>
                <c:ptCount val="1"/>
                <c:pt idx="0">
                  <c:v>Median Pay Gap</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GPG!$B$104:$F$104</c:f>
              <c:numCache>
                <c:formatCode>General</c:formatCode>
                <c:ptCount val="5"/>
                <c:pt idx="0">
                  <c:v>2021</c:v>
                </c:pt>
                <c:pt idx="1">
                  <c:v>2022</c:v>
                </c:pt>
                <c:pt idx="2">
                  <c:v>2023</c:v>
                </c:pt>
                <c:pt idx="3">
                  <c:v>2024</c:v>
                </c:pt>
                <c:pt idx="4">
                  <c:v>2025</c:v>
                </c:pt>
              </c:numCache>
            </c:numRef>
          </c:cat>
          <c:val>
            <c:numRef>
              <c:f>GPG!$B$106:$F$106</c:f>
              <c:numCache>
                <c:formatCode>General</c:formatCode>
                <c:ptCount val="5"/>
                <c:pt idx="0">
                  <c:v>17.3</c:v>
                </c:pt>
                <c:pt idx="1">
                  <c:v>17.989999999999998</c:v>
                </c:pt>
                <c:pt idx="2">
                  <c:v>11.98</c:v>
                </c:pt>
                <c:pt idx="3">
                  <c:v>11.24</c:v>
                </c:pt>
                <c:pt idx="4">
                  <c:v>9.5399999999999991</c:v>
                </c:pt>
              </c:numCache>
            </c:numRef>
          </c:val>
          <c:smooth val="0"/>
          <c:extLst>
            <c:ext xmlns:c16="http://schemas.microsoft.com/office/drawing/2014/chart" uri="{C3380CC4-5D6E-409C-BE32-E72D297353CC}">
              <c16:uniqueId val="{00000001-40C9-4EA0-9641-5D2FB435C9AF}"/>
            </c:ext>
          </c:extLst>
        </c:ser>
        <c:dLbls>
          <c:showLegendKey val="0"/>
          <c:showVal val="0"/>
          <c:showCatName val="0"/>
          <c:showSerName val="0"/>
          <c:showPercent val="0"/>
          <c:showBubbleSize val="0"/>
        </c:dLbls>
        <c:marker val="1"/>
        <c:smooth val="0"/>
        <c:axId val="1278175327"/>
        <c:axId val="908217599"/>
      </c:lineChart>
      <c:catAx>
        <c:axId val="1278175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217599"/>
        <c:crosses val="autoZero"/>
        <c:auto val="1"/>
        <c:lblAlgn val="ctr"/>
        <c:lblOffset val="100"/>
        <c:noMultiLvlLbl val="0"/>
      </c:catAx>
      <c:valAx>
        <c:axId val="908217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1753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Pay Gap Trend - AfC Staff</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2"/>
          <c:order val="0"/>
          <c:tx>
            <c:strRef>
              <c:f>GPG!$A$109</c:f>
              <c:strCache>
                <c:ptCount val="1"/>
                <c:pt idx="0">
                  <c:v>Mean Pay Gap</c:v>
                </c:pt>
              </c:strCache>
            </c:strRef>
          </c:tx>
          <c:spPr>
            <a:ln w="28575" cap="rnd">
              <a:solidFill>
                <a:schemeClr val="accent2"/>
              </a:solidFill>
              <a:round/>
            </a:ln>
            <a:effectLst/>
          </c:spPr>
          <c:marker>
            <c:symbol val="circle"/>
            <c:size val="5"/>
            <c:spPr>
              <a:solidFill>
                <a:schemeClr val="accent2"/>
              </a:solidFill>
              <a:ln w="9525">
                <a:solidFill>
                  <a:schemeClr val="accent3"/>
                </a:solidFill>
              </a:ln>
              <a:effectLst/>
            </c:spPr>
          </c:marker>
          <c:dLbls>
            <c:dLbl>
              <c:idx val="1"/>
              <c:layout>
                <c:manualLayout>
                  <c:x val="-5.250919948601087E-2"/>
                  <c:y val="4.40467005557592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8F-4B25-843C-334A3590DA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GPG!$B$108:$F$108</c:f>
              <c:numCache>
                <c:formatCode>General</c:formatCode>
                <c:ptCount val="5"/>
                <c:pt idx="0">
                  <c:v>2021</c:v>
                </c:pt>
                <c:pt idx="1">
                  <c:v>2022</c:v>
                </c:pt>
                <c:pt idx="2">
                  <c:v>2023</c:v>
                </c:pt>
                <c:pt idx="3">
                  <c:v>2024</c:v>
                </c:pt>
                <c:pt idx="4">
                  <c:v>2025</c:v>
                </c:pt>
              </c:numCache>
            </c:numRef>
          </c:cat>
          <c:val>
            <c:numRef>
              <c:f>GPG!$B$109:$F$109</c:f>
              <c:numCache>
                <c:formatCode>General</c:formatCode>
                <c:ptCount val="5"/>
                <c:pt idx="0">
                  <c:v>-2.2799999999999998</c:v>
                </c:pt>
                <c:pt idx="1">
                  <c:v>-5.37</c:v>
                </c:pt>
                <c:pt idx="2">
                  <c:v>-0.14000000000000001</c:v>
                </c:pt>
                <c:pt idx="3">
                  <c:v>0.8</c:v>
                </c:pt>
                <c:pt idx="4">
                  <c:v>1.85</c:v>
                </c:pt>
              </c:numCache>
            </c:numRef>
          </c:val>
          <c:smooth val="0"/>
          <c:extLst>
            <c:ext xmlns:c16="http://schemas.microsoft.com/office/drawing/2014/chart" uri="{C3380CC4-5D6E-409C-BE32-E72D297353CC}">
              <c16:uniqueId val="{00000001-D38F-4B25-843C-334A3590DA0F}"/>
            </c:ext>
          </c:extLst>
        </c:ser>
        <c:ser>
          <c:idx val="0"/>
          <c:order val="1"/>
          <c:tx>
            <c:strRef>
              <c:f>GPG!$A$110</c:f>
              <c:strCache>
                <c:ptCount val="1"/>
                <c:pt idx="0">
                  <c:v>Median Pay Gap</c:v>
                </c:pt>
              </c:strCache>
            </c:strRef>
          </c:tx>
          <c:spPr>
            <a:ln w="28575" cap="rnd">
              <a:solidFill>
                <a:schemeClr val="accent3"/>
              </a:solidFill>
              <a:round/>
            </a:ln>
            <a:effectLst/>
          </c:spPr>
          <c:marker>
            <c:symbol val="circle"/>
            <c:size val="5"/>
            <c:spPr>
              <a:solidFill>
                <a:schemeClr val="accent3"/>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GPG!$B$108:$F$108</c:f>
              <c:numCache>
                <c:formatCode>General</c:formatCode>
                <c:ptCount val="5"/>
                <c:pt idx="0">
                  <c:v>2021</c:v>
                </c:pt>
                <c:pt idx="1">
                  <c:v>2022</c:v>
                </c:pt>
                <c:pt idx="2">
                  <c:v>2023</c:v>
                </c:pt>
                <c:pt idx="3">
                  <c:v>2024</c:v>
                </c:pt>
                <c:pt idx="4">
                  <c:v>2025</c:v>
                </c:pt>
              </c:numCache>
            </c:numRef>
          </c:cat>
          <c:val>
            <c:numRef>
              <c:f>GPG!$B$110:$F$110</c:f>
              <c:numCache>
                <c:formatCode>General</c:formatCode>
                <c:ptCount val="5"/>
                <c:pt idx="0">
                  <c:v>-11.19</c:v>
                </c:pt>
                <c:pt idx="1">
                  <c:v>-3.51</c:v>
                </c:pt>
                <c:pt idx="2">
                  <c:v>-7.92</c:v>
                </c:pt>
                <c:pt idx="3">
                  <c:v>-6.46</c:v>
                </c:pt>
                <c:pt idx="4">
                  <c:v>-8.26</c:v>
                </c:pt>
              </c:numCache>
            </c:numRef>
          </c:val>
          <c:smooth val="0"/>
          <c:extLst>
            <c:ext xmlns:c16="http://schemas.microsoft.com/office/drawing/2014/chart" uri="{C3380CC4-5D6E-409C-BE32-E72D297353CC}">
              <c16:uniqueId val="{00000002-D38F-4B25-843C-334A3590DA0F}"/>
            </c:ext>
          </c:extLst>
        </c:ser>
        <c:dLbls>
          <c:showLegendKey val="0"/>
          <c:showVal val="0"/>
          <c:showCatName val="0"/>
          <c:showSerName val="0"/>
          <c:showPercent val="0"/>
          <c:showBubbleSize val="0"/>
        </c:dLbls>
        <c:marker val="1"/>
        <c:smooth val="0"/>
        <c:axId val="1278175327"/>
        <c:axId val="908217599"/>
      </c:lineChart>
      <c:catAx>
        <c:axId val="1278175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217599"/>
        <c:crossesAt val="-12"/>
        <c:auto val="1"/>
        <c:lblAlgn val="ctr"/>
        <c:lblOffset val="100"/>
        <c:noMultiLvlLbl val="0"/>
      </c:catAx>
      <c:valAx>
        <c:axId val="908217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1753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Pay Gap Trend - Medical &amp; Dental</a:t>
            </a:r>
            <a:r>
              <a:rPr lang="en-GB" baseline="0"/>
              <a:t> Staff</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0"/>
          <c:order val="0"/>
          <c:tx>
            <c:strRef>
              <c:f>GPG!$A$113</c:f>
              <c:strCache>
                <c:ptCount val="1"/>
                <c:pt idx="0">
                  <c:v>Mean Pay Gap</c:v>
                </c:pt>
              </c:strCache>
            </c:strRef>
          </c:tx>
          <c:spPr>
            <a:ln w="28575" cap="rnd">
              <a:solidFill>
                <a:schemeClr val="accent3"/>
              </a:solidFill>
              <a:round/>
            </a:ln>
            <a:effectLst/>
          </c:spPr>
          <c:marker>
            <c:symbol val="circle"/>
            <c:size val="5"/>
            <c:spPr>
              <a:solidFill>
                <a:schemeClr val="accent3"/>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GPG!$B$112:$F$112</c:f>
              <c:numCache>
                <c:formatCode>General</c:formatCode>
                <c:ptCount val="5"/>
                <c:pt idx="0">
                  <c:v>2021</c:v>
                </c:pt>
                <c:pt idx="1">
                  <c:v>2022</c:v>
                </c:pt>
                <c:pt idx="2">
                  <c:v>2023</c:v>
                </c:pt>
                <c:pt idx="3">
                  <c:v>2024</c:v>
                </c:pt>
                <c:pt idx="4">
                  <c:v>2025</c:v>
                </c:pt>
              </c:numCache>
            </c:numRef>
          </c:cat>
          <c:val>
            <c:numRef>
              <c:f>GPG!$B$113:$F$113</c:f>
              <c:numCache>
                <c:formatCode>General</c:formatCode>
                <c:ptCount val="5"/>
                <c:pt idx="0">
                  <c:v>15.92</c:v>
                </c:pt>
                <c:pt idx="1">
                  <c:v>15.81</c:v>
                </c:pt>
                <c:pt idx="2">
                  <c:v>19.68</c:v>
                </c:pt>
                <c:pt idx="3">
                  <c:v>19.23</c:v>
                </c:pt>
                <c:pt idx="4">
                  <c:v>15.27</c:v>
                </c:pt>
              </c:numCache>
            </c:numRef>
          </c:val>
          <c:smooth val="0"/>
          <c:extLst>
            <c:ext xmlns:c16="http://schemas.microsoft.com/office/drawing/2014/chart" uri="{C3380CC4-5D6E-409C-BE32-E72D297353CC}">
              <c16:uniqueId val="{00000000-4489-47BE-89C7-86AB42CEF6E5}"/>
            </c:ext>
          </c:extLst>
        </c:ser>
        <c:ser>
          <c:idx val="1"/>
          <c:order val="1"/>
          <c:tx>
            <c:strRef>
              <c:f>GPG!$A$114</c:f>
              <c:strCache>
                <c:ptCount val="1"/>
                <c:pt idx="0">
                  <c:v>Median Pay Gap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GPG!$B$112:$F$112</c:f>
              <c:numCache>
                <c:formatCode>General</c:formatCode>
                <c:ptCount val="5"/>
                <c:pt idx="0">
                  <c:v>2021</c:v>
                </c:pt>
                <c:pt idx="1">
                  <c:v>2022</c:v>
                </c:pt>
                <c:pt idx="2">
                  <c:v>2023</c:v>
                </c:pt>
                <c:pt idx="3">
                  <c:v>2024</c:v>
                </c:pt>
                <c:pt idx="4">
                  <c:v>2025</c:v>
                </c:pt>
              </c:numCache>
            </c:numRef>
          </c:cat>
          <c:val>
            <c:numRef>
              <c:f>GPG!$B$114:$F$114</c:f>
              <c:numCache>
                <c:formatCode>General</c:formatCode>
                <c:ptCount val="5"/>
                <c:pt idx="0">
                  <c:v>24.27</c:v>
                </c:pt>
                <c:pt idx="1">
                  <c:v>23.64</c:v>
                </c:pt>
                <c:pt idx="2">
                  <c:v>29.87</c:v>
                </c:pt>
                <c:pt idx="3">
                  <c:v>28.28</c:v>
                </c:pt>
                <c:pt idx="4">
                  <c:v>23.04</c:v>
                </c:pt>
              </c:numCache>
            </c:numRef>
          </c:val>
          <c:smooth val="0"/>
          <c:extLst>
            <c:ext xmlns:c16="http://schemas.microsoft.com/office/drawing/2014/chart" uri="{C3380CC4-5D6E-409C-BE32-E72D297353CC}">
              <c16:uniqueId val="{00000001-4489-47BE-89C7-86AB42CEF6E5}"/>
            </c:ext>
          </c:extLst>
        </c:ser>
        <c:dLbls>
          <c:showLegendKey val="0"/>
          <c:showVal val="0"/>
          <c:showCatName val="0"/>
          <c:showSerName val="0"/>
          <c:showPercent val="0"/>
          <c:showBubbleSize val="0"/>
        </c:dLbls>
        <c:marker val="1"/>
        <c:smooth val="0"/>
        <c:axId val="1278175327"/>
        <c:axId val="908217599"/>
      </c:lineChart>
      <c:catAx>
        <c:axId val="1278175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8217599"/>
        <c:crossesAt val="-12"/>
        <c:auto val="1"/>
        <c:lblAlgn val="ctr"/>
        <c:lblOffset val="100"/>
        <c:noMultiLvlLbl val="0"/>
      </c:catAx>
      <c:valAx>
        <c:axId val="9082175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1753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Quartile</a:t>
            </a:r>
            <a:r>
              <a:rPr lang="en-GB" baseline="0"/>
              <a:t> Data 24/25</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stacked"/>
        <c:varyColors val="0"/>
        <c:ser>
          <c:idx val="1"/>
          <c:order val="0"/>
          <c:tx>
            <c:strRef>
              <c:f>GPG!$L$58</c:f>
              <c:strCache>
                <c:ptCount val="1"/>
                <c:pt idx="0">
                  <c:v>Female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GPG!$A$59:$A$62</c:f>
              <c:strCache>
                <c:ptCount val="4"/>
                <c:pt idx="0">
                  <c:v>Q1</c:v>
                </c:pt>
                <c:pt idx="1">
                  <c:v>Q2</c:v>
                </c:pt>
                <c:pt idx="2">
                  <c:v>Q3</c:v>
                </c:pt>
                <c:pt idx="3">
                  <c:v>Q4</c:v>
                </c:pt>
              </c:strCache>
            </c:strRef>
          </c:cat>
          <c:val>
            <c:numRef>
              <c:f>GPG!$L$59:$L$62</c:f>
              <c:numCache>
                <c:formatCode>0.00</c:formatCode>
                <c:ptCount val="4"/>
                <c:pt idx="0">
                  <c:v>78.972182932579003</c:v>
                </c:pt>
                <c:pt idx="1">
                  <c:v>83.372585963259496</c:v>
                </c:pt>
                <c:pt idx="2">
                  <c:v>84.771334276284804</c:v>
                </c:pt>
                <c:pt idx="3">
                  <c:v>64.437117286858197</c:v>
                </c:pt>
              </c:numCache>
            </c:numRef>
          </c:val>
          <c:extLst>
            <c:ext xmlns:c16="http://schemas.microsoft.com/office/drawing/2014/chart" uri="{C3380CC4-5D6E-409C-BE32-E72D297353CC}">
              <c16:uniqueId val="{00000000-F580-4C6C-81FF-A54F9CDDDEE7}"/>
            </c:ext>
          </c:extLst>
        </c:ser>
        <c:ser>
          <c:idx val="2"/>
          <c:order val="1"/>
          <c:tx>
            <c:strRef>
              <c:f>GPG!$M$58</c:f>
              <c:strCache>
                <c:ptCount val="1"/>
                <c:pt idx="0">
                  <c:v>Male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GPG!$A$59:$A$62</c:f>
              <c:strCache>
                <c:ptCount val="4"/>
                <c:pt idx="0">
                  <c:v>Q1</c:v>
                </c:pt>
                <c:pt idx="1">
                  <c:v>Q2</c:v>
                </c:pt>
                <c:pt idx="2">
                  <c:v>Q3</c:v>
                </c:pt>
                <c:pt idx="3">
                  <c:v>Q4</c:v>
                </c:pt>
              </c:strCache>
            </c:strRef>
          </c:cat>
          <c:val>
            <c:numRef>
              <c:f>GPG!$M$59:$M$62</c:f>
              <c:numCache>
                <c:formatCode>0.00</c:formatCode>
                <c:ptCount val="4"/>
                <c:pt idx="0">
                  <c:v>21.027817067421001</c:v>
                </c:pt>
                <c:pt idx="1">
                  <c:v>16.6274140367405</c:v>
                </c:pt>
                <c:pt idx="2">
                  <c:v>15.228665723715199</c:v>
                </c:pt>
                <c:pt idx="3">
                  <c:v>35.562882713141803</c:v>
                </c:pt>
              </c:numCache>
            </c:numRef>
          </c:val>
          <c:extLst>
            <c:ext xmlns:c16="http://schemas.microsoft.com/office/drawing/2014/chart" uri="{C3380CC4-5D6E-409C-BE32-E72D297353CC}">
              <c16:uniqueId val="{00000001-F580-4C6C-81FF-A54F9CDDDEE7}"/>
            </c:ext>
          </c:extLst>
        </c:ser>
        <c:dLbls>
          <c:showLegendKey val="0"/>
          <c:showVal val="0"/>
          <c:showCatName val="0"/>
          <c:showSerName val="0"/>
          <c:showPercent val="0"/>
          <c:showBubbleSize val="0"/>
        </c:dLbls>
        <c:gapWidth val="150"/>
        <c:overlap val="100"/>
        <c:axId val="1750458559"/>
        <c:axId val="1750462879"/>
      </c:barChart>
      <c:catAx>
        <c:axId val="1750458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0462879"/>
        <c:crosses val="autoZero"/>
        <c:auto val="1"/>
        <c:lblAlgn val="ctr"/>
        <c:lblOffset val="100"/>
        <c:noMultiLvlLbl val="0"/>
      </c:catAx>
      <c:valAx>
        <c:axId val="1750462879"/>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0458559"/>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Ethnicity Breakdown</a:t>
            </a:r>
            <a:r>
              <a:rPr lang="en-US" sz="1100" b="1" baseline="0"/>
              <a:t> </a:t>
            </a:r>
            <a:r>
              <a:rPr lang="en-US" sz="1100" b="1"/>
              <a:t>2024/25 HC %</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5527078723002764"/>
          <c:y val="0.16797034210200809"/>
          <c:w val="0.34308671446235134"/>
          <c:h val="0.65900463746839244"/>
        </c:manualLayout>
      </c:layout>
      <c:doughnutChart>
        <c:varyColors val="1"/>
        <c:ser>
          <c:idx val="0"/>
          <c:order val="0"/>
          <c:tx>
            <c:strRef>
              <c:f>EPG!$E$5</c:f>
              <c:strCache>
                <c:ptCount val="1"/>
                <c:pt idx="0">
                  <c:v>2024/25 %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B5-4AAE-95F3-40AA2F535D8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B5-4AAE-95F3-40AA2F535D8D}"/>
              </c:ext>
            </c:extLst>
          </c:dPt>
          <c:dLbls>
            <c:dLbl>
              <c:idx val="0"/>
              <c:layout>
                <c:manualLayout>
                  <c:x val="0.100553041729512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B5-4AAE-95F3-40AA2F535D8D}"/>
                </c:ext>
              </c:extLst>
            </c:dLbl>
            <c:dLbl>
              <c:idx val="1"/>
              <c:layout>
                <c:manualLayout>
                  <c:x val="-0.10390480978716275"/>
                  <c:y val="-5.79430080075919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B5-4AAE-95F3-40AA2F535D8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EPG!$A$6:$A$7</c:f>
              <c:strCache>
                <c:ptCount val="2"/>
                <c:pt idx="0">
                  <c:v>White</c:v>
                </c:pt>
                <c:pt idx="1">
                  <c:v>BAME</c:v>
                </c:pt>
              </c:strCache>
            </c:strRef>
          </c:cat>
          <c:val>
            <c:numRef>
              <c:f>EPG!$E$6:$E$7</c:f>
              <c:numCache>
                <c:formatCode>0.0%</c:formatCode>
                <c:ptCount val="2"/>
                <c:pt idx="0">
                  <c:v>0.45989377638567341</c:v>
                </c:pt>
                <c:pt idx="1">
                  <c:v>0.54010622361432659</c:v>
                </c:pt>
              </c:numCache>
            </c:numRef>
          </c:val>
          <c:extLst>
            <c:ext xmlns:c16="http://schemas.microsoft.com/office/drawing/2014/chart" uri="{C3380CC4-5D6E-409C-BE32-E72D297353CC}">
              <c16:uniqueId val="{00000004-13B5-4AAE-95F3-40AA2F535D8D}"/>
            </c:ext>
          </c:extLst>
        </c:ser>
        <c:dLbls>
          <c:showLegendKey val="0"/>
          <c:showVal val="0"/>
          <c:showCatName val="0"/>
          <c:showSerName val="0"/>
          <c:showPercent val="0"/>
          <c:showBubbleSize val="0"/>
          <c:showLeaderLines val="1"/>
        </c:dLbls>
        <c:firstSliceAng val="0"/>
        <c:holeSize val="60"/>
      </c:doughnutChart>
      <c:spPr>
        <a:noFill/>
        <a:ln>
          <a:noFill/>
        </a:ln>
        <a:effectLst/>
      </c:spPr>
    </c:plotArea>
    <c:legend>
      <c:legendPos val="b"/>
      <c:layout>
        <c:manualLayout>
          <c:xMode val="edge"/>
          <c:yMode val="edge"/>
          <c:x val="0.38623769313903633"/>
          <c:y val="0.85272742757377473"/>
          <c:w val="0.25338653935226424"/>
          <c:h val="0.1086439004211640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GB" sz="1100" b="1"/>
              <a:t>Ethnicity Pay Gap Quartile March</a:t>
            </a:r>
            <a:r>
              <a:rPr lang="en-GB" sz="1100" b="1" baseline="0"/>
              <a:t> 2025</a:t>
            </a:r>
            <a:endParaRPr lang="en-GB" sz="1100" b="1"/>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percentStacked"/>
        <c:varyColors val="0"/>
        <c:ser>
          <c:idx val="0"/>
          <c:order val="0"/>
          <c:tx>
            <c:strRef>
              <c:f>'Eth and Dis Quart'!$E$7</c:f>
              <c:strCache>
                <c:ptCount val="1"/>
                <c:pt idx="0">
                  <c:v>White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 and Dis Quart'!$A$8:$A$12</c:f>
              <c:strCache>
                <c:ptCount val="5"/>
                <c:pt idx="0">
                  <c:v>Q1</c:v>
                </c:pt>
                <c:pt idx="1">
                  <c:v>Q2</c:v>
                </c:pt>
                <c:pt idx="2">
                  <c:v>Q3</c:v>
                </c:pt>
                <c:pt idx="3">
                  <c:v>Q4</c:v>
                </c:pt>
                <c:pt idx="4">
                  <c:v>Total</c:v>
                </c:pt>
              </c:strCache>
            </c:strRef>
          </c:cat>
          <c:val>
            <c:numRef>
              <c:f>'Eth and Dis Quart'!$E$8:$E$12</c:f>
              <c:numCache>
                <c:formatCode>0.0</c:formatCode>
                <c:ptCount val="5"/>
                <c:pt idx="0">
                  <c:v>41.442715700141441</c:v>
                </c:pt>
                <c:pt idx="1">
                  <c:v>37.164390014130952</c:v>
                </c:pt>
                <c:pt idx="2">
                  <c:v>36.209335219236209</c:v>
                </c:pt>
                <c:pt idx="3">
                  <c:v>44.324069712670749</c:v>
                </c:pt>
                <c:pt idx="4">
                  <c:v>39.785579641847313</c:v>
                </c:pt>
              </c:numCache>
            </c:numRef>
          </c:val>
          <c:extLst>
            <c:ext xmlns:c16="http://schemas.microsoft.com/office/drawing/2014/chart" uri="{C3380CC4-5D6E-409C-BE32-E72D297353CC}">
              <c16:uniqueId val="{00000000-8434-45A6-9989-47C3FA4C5833}"/>
            </c:ext>
          </c:extLst>
        </c:ser>
        <c:ser>
          <c:idx val="1"/>
          <c:order val="1"/>
          <c:tx>
            <c:strRef>
              <c:f>'Eth and Dis Quart'!$F$7</c:f>
              <c:strCache>
                <c:ptCount val="1"/>
                <c:pt idx="0">
                  <c:v>BME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 and Dis Quart'!$A$8:$A$12</c:f>
              <c:strCache>
                <c:ptCount val="5"/>
                <c:pt idx="0">
                  <c:v>Q1</c:v>
                </c:pt>
                <c:pt idx="1">
                  <c:v>Q2</c:v>
                </c:pt>
                <c:pt idx="2">
                  <c:v>Q3</c:v>
                </c:pt>
                <c:pt idx="3">
                  <c:v>Q4</c:v>
                </c:pt>
                <c:pt idx="4">
                  <c:v>Total</c:v>
                </c:pt>
              </c:strCache>
            </c:strRef>
          </c:cat>
          <c:val>
            <c:numRef>
              <c:f>'Eth and Dis Quart'!$F$8:$F$12</c:f>
              <c:numCache>
                <c:formatCode>0.0</c:formatCode>
                <c:ptCount val="5"/>
                <c:pt idx="0">
                  <c:v>45.968882602545968</c:v>
                </c:pt>
                <c:pt idx="1">
                  <c:v>47.951012717852102</c:v>
                </c:pt>
                <c:pt idx="2">
                  <c:v>48.797736916548793</c:v>
                </c:pt>
                <c:pt idx="3">
                  <c:v>44.182760244936411</c:v>
                </c:pt>
                <c:pt idx="4">
                  <c:v>46.724787935909518</c:v>
                </c:pt>
              </c:numCache>
            </c:numRef>
          </c:val>
          <c:extLst>
            <c:ext xmlns:c16="http://schemas.microsoft.com/office/drawing/2014/chart" uri="{C3380CC4-5D6E-409C-BE32-E72D297353CC}">
              <c16:uniqueId val="{00000001-8434-45A6-9989-47C3FA4C5833}"/>
            </c:ext>
          </c:extLst>
        </c:ser>
        <c:ser>
          <c:idx val="2"/>
          <c:order val="2"/>
          <c:tx>
            <c:strRef>
              <c:f>'Eth and Dis Quart'!$G$7</c:f>
              <c:strCache>
                <c:ptCount val="1"/>
                <c:pt idx="0">
                  <c:v>Not Stated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 and Dis Quart'!$A$8:$A$12</c:f>
              <c:strCache>
                <c:ptCount val="5"/>
                <c:pt idx="0">
                  <c:v>Q1</c:v>
                </c:pt>
                <c:pt idx="1">
                  <c:v>Q2</c:v>
                </c:pt>
                <c:pt idx="2">
                  <c:v>Q3</c:v>
                </c:pt>
                <c:pt idx="3">
                  <c:v>Q4</c:v>
                </c:pt>
                <c:pt idx="4">
                  <c:v>Total</c:v>
                </c:pt>
              </c:strCache>
            </c:strRef>
          </c:cat>
          <c:val>
            <c:numRef>
              <c:f>'Eth and Dis Quart'!$G$8:$G$12</c:f>
              <c:numCache>
                <c:formatCode>0.0</c:formatCode>
                <c:ptCount val="5"/>
                <c:pt idx="0">
                  <c:v>12.588401697312587</c:v>
                </c:pt>
                <c:pt idx="1">
                  <c:v>14.884597268016957</c:v>
                </c:pt>
                <c:pt idx="2">
                  <c:v>14.992927864214991</c:v>
                </c:pt>
                <c:pt idx="3">
                  <c:v>11.49317004239284</c:v>
                </c:pt>
                <c:pt idx="4">
                  <c:v>13.489632422243167</c:v>
                </c:pt>
              </c:numCache>
            </c:numRef>
          </c:val>
          <c:extLst>
            <c:ext xmlns:c16="http://schemas.microsoft.com/office/drawing/2014/chart" uri="{C3380CC4-5D6E-409C-BE32-E72D297353CC}">
              <c16:uniqueId val="{00000002-8434-45A6-9989-47C3FA4C5833}"/>
            </c:ext>
          </c:extLst>
        </c:ser>
        <c:dLbls>
          <c:showLegendKey val="0"/>
          <c:showVal val="0"/>
          <c:showCatName val="0"/>
          <c:showSerName val="0"/>
          <c:showPercent val="0"/>
          <c:showBubbleSize val="0"/>
        </c:dLbls>
        <c:gapWidth val="50"/>
        <c:overlap val="100"/>
        <c:axId val="802093936"/>
        <c:axId val="802121776"/>
      </c:barChart>
      <c:catAx>
        <c:axId val="802093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121776"/>
        <c:crosses val="autoZero"/>
        <c:auto val="1"/>
        <c:lblAlgn val="ctr"/>
        <c:lblOffset val="100"/>
        <c:noMultiLvlLbl val="0"/>
      </c:catAx>
      <c:valAx>
        <c:axId val="8021217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09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GB" sz="1100" b="1"/>
              <a:t>Disability Pay Gap Quartile March</a:t>
            </a:r>
            <a:r>
              <a:rPr lang="en-GB" sz="1100" b="1" baseline="0"/>
              <a:t> 2025</a:t>
            </a:r>
            <a:endParaRPr lang="en-GB" sz="1100" b="1"/>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percentStacked"/>
        <c:varyColors val="0"/>
        <c:ser>
          <c:idx val="0"/>
          <c:order val="0"/>
          <c:tx>
            <c:strRef>
              <c:f>'Eth and Dis Quart'!$E$35</c:f>
              <c:strCache>
                <c:ptCount val="1"/>
                <c:pt idx="0">
                  <c:v>No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 and Dis Quart'!$A$36:$A$40</c:f>
              <c:strCache>
                <c:ptCount val="5"/>
                <c:pt idx="0">
                  <c:v>Q1</c:v>
                </c:pt>
                <c:pt idx="1">
                  <c:v>Q2</c:v>
                </c:pt>
                <c:pt idx="2">
                  <c:v>Q3</c:v>
                </c:pt>
                <c:pt idx="3">
                  <c:v>Q4</c:v>
                </c:pt>
                <c:pt idx="4">
                  <c:v>Total</c:v>
                </c:pt>
              </c:strCache>
            </c:strRef>
          </c:cat>
          <c:val>
            <c:numRef>
              <c:f>'Eth and Dis Quart'!$E$36:$E$40</c:f>
              <c:numCache>
                <c:formatCode>0.0</c:formatCode>
                <c:ptCount val="5"/>
                <c:pt idx="0">
                  <c:v>74.587458745874585</c:v>
                </c:pt>
                <c:pt idx="1">
                  <c:v>74.75270843146491</c:v>
                </c:pt>
                <c:pt idx="2">
                  <c:v>74.634606317774626</c:v>
                </c:pt>
                <c:pt idx="3">
                  <c:v>74.75270843146491</c:v>
                </c:pt>
                <c:pt idx="4">
                  <c:v>74.681903864278993</c:v>
                </c:pt>
              </c:numCache>
            </c:numRef>
          </c:val>
          <c:extLst>
            <c:ext xmlns:c16="http://schemas.microsoft.com/office/drawing/2014/chart" uri="{C3380CC4-5D6E-409C-BE32-E72D297353CC}">
              <c16:uniqueId val="{00000000-63D9-4EDD-96B4-F3C03C57F13F}"/>
            </c:ext>
          </c:extLst>
        </c:ser>
        <c:ser>
          <c:idx val="1"/>
          <c:order val="1"/>
          <c:tx>
            <c:strRef>
              <c:f>'Eth and Dis Quart'!$F$35</c:f>
              <c:strCache>
                <c:ptCount val="1"/>
                <c:pt idx="0">
                  <c:v>Not Declared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 and Dis Quart'!$A$36:$A$40</c:f>
              <c:strCache>
                <c:ptCount val="5"/>
                <c:pt idx="0">
                  <c:v>Q1</c:v>
                </c:pt>
                <c:pt idx="1">
                  <c:v>Q2</c:v>
                </c:pt>
                <c:pt idx="2">
                  <c:v>Q3</c:v>
                </c:pt>
                <c:pt idx="3">
                  <c:v>Q4</c:v>
                </c:pt>
                <c:pt idx="4">
                  <c:v>Total</c:v>
                </c:pt>
              </c:strCache>
            </c:strRef>
          </c:cat>
          <c:val>
            <c:numRef>
              <c:f>'Eth and Dis Quart'!$F$36:$F$40</c:f>
              <c:numCache>
                <c:formatCode>0.0</c:formatCode>
                <c:ptCount val="5"/>
                <c:pt idx="0">
                  <c:v>5.6577086280056577</c:v>
                </c:pt>
                <c:pt idx="1">
                  <c:v>4.7574187470560521</c:v>
                </c:pt>
                <c:pt idx="2">
                  <c:v>4.4318717586044318</c:v>
                </c:pt>
                <c:pt idx="3">
                  <c:v>3.8624587847385774</c:v>
                </c:pt>
                <c:pt idx="4">
                  <c:v>4.6771913289349669</c:v>
                </c:pt>
              </c:numCache>
            </c:numRef>
          </c:val>
          <c:extLst>
            <c:ext xmlns:c16="http://schemas.microsoft.com/office/drawing/2014/chart" uri="{C3380CC4-5D6E-409C-BE32-E72D297353CC}">
              <c16:uniqueId val="{00000001-63D9-4EDD-96B4-F3C03C57F13F}"/>
            </c:ext>
          </c:extLst>
        </c:ser>
        <c:ser>
          <c:idx val="2"/>
          <c:order val="2"/>
          <c:tx>
            <c:strRef>
              <c:f>'Eth and Dis Quart'!$G$35</c:f>
              <c:strCache>
                <c:ptCount val="1"/>
                <c:pt idx="0">
                  <c:v>Yes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'Eth and Dis Quart'!$A$36:$A$40</c:f>
              <c:strCache>
                <c:ptCount val="5"/>
                <c:pt idx="0">
                  <c:v>Q1</c:v>
                </c:pt>
                <c:pt idx="1">
                  <c:v>Q2</c:v>
                </c:pt>
                <c:pt idx="2">
                  <c:v>Q3</c:v>
                </c:pt>
                <c:pt idx="3">
                  <c:v>Q4</c:v>
                </c:pt>
                <c:pt idx="4">
                  <c:v>Total</c:v>
                </c:pt>
              </c:strCache>
            </c:strRef>
          </c:cat>
          <c:val>
            <c:numRef>
              <c:f>'Eth and Dis Quart'!$G$36:$G$40</c:f>
              <c:numCache>
                <c:formatCode>0.0</c:formatCode>
                <c:ptCount val="5"/>
                <c:pt idx="0">
                  <c:v>19.754832626119757</c:v>
                </c:pt>
                <c:pt idx="1">
                  <c:v>20.48987282147904</c:v>
                </c:pt>
                <c:pt idx="2">
                  <c:v>20.933521923620933</c:v>
                </c:pt>
                <c:pt idx="3">
                  <c:v>21.384832783796515</c:v>
                </c:pt>
                <c:pt idx="4">
                  <c:v>20.64090480678605</c:v>
                </c:pt>
              </c:numCache>
            </c:numRef>
          </c:val>
          <c:extLst>
            <c:ext xmlns:c16="http://schemas.microsoft.com/office/drawing/2014/chart" uri="{C3380CC4-5D6E-409C-BE32-E72D297353CC}">
              <c16:uniqueId val="{00000002-63D9-4EDD-96B4-F3C03C57F13F}"/>
            </c:ext>
          </c:extLst>
        </c:ser>
        <c:dLbls>
          <c:showLegendKey val="0"/>
          <c:showVal val="0"/>
          <c:showCatName val="0"/>
          <c:showSerName val="0"/>
          <c:showPercent val="0"/>
          <c:showBubbleSize val="0"/>
        </c:dLbls>
        <c:gapWidth val="50"/>
        <c:overlap val="100"/>
        <c:axId val="802093936"/>
        <c:axId val="802121776"/>
      </c:barChart>
      <c:catAx>
        <c:axId val="802093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121776"/>
        <c:crosses val="autoZero"/>
        <c:auto val="1"/>
        <c:lblAlgn val="ctr"/>
        <c:lblOffset val="100"/>
        <c:noMultiLvlLbl val="0"/>
      </c:catAx>
      <c:valAx>
        <c:axId val="8021217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209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4174</Words>
  <Characters>24568</Characters>
  <Application>Microsoft Office Word</Application>
  <DocSecurity>12</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Sabrina (NHS BLACK COUNTRY ICB - D2P2L)</dc:creator>
  <cp:keywords/>
  <dc:description/>
  <cp:lastModifiedBy>PATEL, Bhavna (SANDWELL AND WEST BIRMINGHAM HOSPITALS NHS TRUST)</cp:lastModifiedBy>
  <cp:revision>2</cp:revision>
  <dcterms:created xsi:type="dcterms:W3CDTF">2025-11-03T12:44:00Z</dcterms:created>
  <dcterms:modified xsi:type="dcterms:W3CDTF">2025-11-03T12:44:00Z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a17bfdb7-cfa1-4522-b2f0-2b39c1ace7d4</vt:lpwstr>
  </property>
</Properties>
</file>