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2B0F5" w14:textId="77777777" w:rsidR="00FF64D5" w:rsidRPr="001C1754" w:rsidRDefault="00FF64D5" w:rsidP="001C1754">
      <w:pPr>
        <w:spacing w:after="0" w:line="240" w:lineRule="auto"/>
        <w:rPr>
          <w:rFonts w:ascii="Aptos" w:hAnsi="Aptos"/>
        </w:rPr>
      </w:pPr>
    </w:p>
    <w:p w14:paraId="169EA80E" w14:textId="79B4E96A" w:rsidR="00FF64D5" w:rsidRPr="001C1754" w:rsidRDefault="001009AE" w:rsidP="001C1754">
      <w:pPr>
        <w:spacing w:after="0" w:line="240" w:lineRule="auto"/>
        <w:rPr>
          <w:rFonts w:ascii="Aptos" w:hAnsi="Aptos" w:cs="Arial"/>
          <w:color w:val="215E99" w:themeColor="text2" w:themeTint="BF"/>
          <w:sz w:val="44"/>
          <w:szCs w:val="44"/>
        </w:rPr>
      </w:pPr>
      <w:r>
        <w:rPr>
          <w:rFonts w:ascii="Aptos" w:hAnsi="Aptos" w:cs="Arial"/>
          <w:color w:val="215E99" w:themeColor="text2" w:themeTint="BF"/>
          <w:sz w:val="44"/>
          <w:szCs w:val="44"/>
        </w:rPr>
        <w:t xml:space="preserve">                                         </w:t>
      </w:r>
      <w:r>
        <w:rPr>
          <w:noProof/>
        </w:rPr>
        <w:drawing>
          <wp:inline distT="0" distB="0" distL="0" distR="0" wp14:anchorId="6DE2ED36" wp14:editId="6D8E63FF">
            <wp:extent cx="3291840" cy="808919"/>
            <wp:effectExtent l="0" t="0" r="3810" b="0"/>
            <wp:docPr id="161067526" name="Picture 1" descr="Sandwell and West Birmingham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7526" name="Picture 1" descr="Sandwell and West Birmingham NHS Tru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013" cy="822231"/>
                    </a:xfrm>
                    <a:prstGeom prst="rect">
                      <a:avLst/>
                    </a:prstGeom>
                    <a:noFill/>
                    <a:ln>
                      <a:noFill/>
                    </a:ln>
                  </pic:spPr>
                </pic:pic>
              </a:graphicData>
            </a:graphic>
          </wp:inline>
        </w:drawing>
      </w:r>
    </w:p>
    <w:p w14:paraId="643DE045" w14:textId="77777777" w:rsidR="00CF3E86" w:rsidRPr="001C1754" w:rsidRDefault="00CF3E86" w:rsidP="001C1754">
      <w:pPr>
        <w:spacing w:after="0" w:line="240" w:lineRule="auto"/>
        <w:rPr>
          <w:rFonts w:ascii="Aptos" w:hAnsi="Aptos" w:cs="Arial"/>
          <w:color w:val="215E99" w:themeColor="text2" w:themeTint="BF"/>
          <w:sz w:val="44"/>
          <w:szCs w:val="44"/>
        </w:rPr>
      </w:pPr>
    </w:p>
    <w:p w14:paraId="6C23073A" w14:textId="77777777" w:rsidR="00CF3E86" w:rsidRPr="001C1754" w:rsidRDefault="00CF3E86" w:rsidP="001C1754">
      <w:pPr>
        <w:spacing w:after="0" w:line="240" w:lineRule="auto"/>
        <w:rPr>
          <w:rFonts w:ascii="Aptos" w:hAnsi="Aptos" w:cs="Arial"/>
          <w:color w:val="215E99" w:themeColor="text2" w:themeTint="BF"/>
          <w:sz w:val="44"/>
          <w:szCs w:val="44"/>
        </w:rPr>
      </w:pPr>
    </w:p>
    <w:p w14:paraId="264642A0" w14:textId="77777777" w:rsidR="00CF3E86" w:rsidRPr="001C1754" w:rsidRDefault="00CF3E86" w:rsidP="001C1754">
      <w:pPr>
        <w:spacing w:after="0" w:line="240" w:lineRule="auto"/>
        <w:rPr>
          <w:rFonts w:ascii="Aptos" w:hAnsi="Aptos" w:cs="Arial"/>
          <w:color w:val="215E99" w:themeColor="text2" w:themeTint="BF"/>
          <w:sz w:val="44"/>
          <w:szCs w:val="44"/>
        </w:rPr>
      </w:pPr>
    </w:p>
    <w:p w14:paraId="7B460711" w14:textId="4C83914E" w:rsidR="00CF3E86" w:rsidRPr="001C1754" w:rsidRDefault="00CF3E86" w:rsidP="001C1754">
      <w:pPr>
        <w:spacing w:after="0" w:line="240" w:lineRule="auto"/>
        <w:rPr>
          <w:rFonts w:ascii="Aptos" w:hAnsi="Aptos" w:cs="Arial"/>
          <w:color w:val="215E99" w:themeColor="text2" w:themeTint="BF"/>
          <w:sz w:val="44"/>
          <w:szCs w:val="44"/>
        </w:rPr>
      </w:pPr>
      <w:r w:rsidRPr="001C1754">
        <w:rPr>
          <w:rFonts w:ascii="Aptos" w:hAnsi="Aptos" w:cs="Arial"/>
          <w:color w:val="215E99" w:themeColor="text2" w:themeTint="BF"/>
          <w:sz w:val="44"/>
          <w:szCs w:val="44"/>
        </w:rPr>
        <w:t>W</w:t>
      </w:r>
      <w:r w:rsidR="0051294A">
        <w:rPr>
          <w:rFonts w:ascii="Aptos" w:hAnsi="Aptos" w:cs="Arial"/>
          <w:color w:val="215E99" w:themeColor="text2" w:themeTint="BF"/>
          <w:sz w:val="44"/>
          <w:szCs w:val="44"/>
        </w:rPr>
        <w:t xml:space="preserve">orkforce </w:t>
      </w:r>
      <w:r w:rsidRPr="001C1754">
        <w:rPr>
          <w:rFonts w:ascii="Aptos" w:hAnsi="Aptos" w:cs="Arial"/>
          <w:color w:val="215E99" w:themeColor="text2" w:themeTint="BF"/>
          <w:sz w:val="44"/>
          <w:szCs w:val="44"/>
        </w:rPr>
        <w:t>R</w:t>
      </w:r>
      <w:r w:rsidR="0051294A">
        <w:rPr>
          <w:rFonts w:ascii="Aptos" w:hAnsi="Aptos" w:cs="Arial"/>
          <w:color w:val="215E99" w:themeColor="text2" w:themeTint="BF"/>
          <w:sz w:val="44"/>
          <w:szCs w:val="44"/>
        </w:rPr>
        <w:t xml:space="preserve">ace </w:t>
      </w:r>
      <w:r w:rsidRPr="001C1754">
        <w:rPr>
          <w:rFonts w:ascii="Aptos" w:hAnsi="Aptos" w:cs="Arial"/>
          <w:color w:val="215E99" w:themeColor="text2" w:themeTint="BF"/>
          <w:sz w:val="44"/>
          <w:szCs w:val="44"/>
        </w:rPr>
        <w:t>E</w:t>
      </w:r>
      <w:r w:rsidR="0051294A">
        <w:rPr>
          <w:rFonts w:ascii="Aptos" w:hAnsi="Aptos" w:cs="Arial"/>
          <w:color w:val="215E99" w:themeColor="text2" w:themeTint="BF"/>
          <w:sz w:val="44"/>
          <w:szCs w:val="44"/>
        </w:rPr>
        <w:t xml:space="preserve">quality </w:t>
      </w:r>
      <w:r w:rsidRPr="001C1754">
        <w:rPr>
          <w:rFonts w:ascii="Aptos" w:hAnsi="Aptos" w:cs="Arial"/>
          <w:color w:val="215E99" w:themeColor="text2" w:themeTint="BF"/>
          <w:sz w:val="44"/>
          <w:szCs w:val="44"/>
        </w:rPr>
        <w:t>S</w:t>
      </w:r>
      <w:r w:rsidR="0051294A">
        <w:rPr>
          <w:rFonts w:ascii="Aptos" w:hAnsi="Aptos" w:cs="Arial"/>
          <w:color w:val="215E99" w:themeColor="text2" w:themeTint="BF"/>
          <w:sz w:val="44"/>
          <w:szCs w:val="44"/>
        </w:rPr>
        <w:t>tandard (WRES)</w:t>
      </w:r>
      <w:r w:rsidRPr="001C1754">
        <w:rPr>
          <w:rFonts w:ascii="Aptos" w:hAnsi="Aptos" w:cs="Arial"/>
          <w:color w:val="215E99" w:themeColor="text2" w:themeTint="BF"/>
          <w:sz w:val="44"/>
          <w:szCs w:val="44"/>
        </w:rPr>
        <w:t xml:space="preserve"> Annual Report 2025</w:t>
      </w:r>
    </w:p>
    <w:p w14:paraId="5FB79AB9" w14:textId="77777777" w:rsidR="00FF64D5" w:rsidRPr="001C1754" w:rsidRDefault="00FF64D5" w:rsidP="001C1754">
      <w:pPr>
        <w:spacing w:after="0" w:line="240" w:lineRule="auto"/>
        <w:rPr>
          <w:rFonts w:ascii="Aptos" w:hAnsi="Aptos"/>
        </w:rPr>
      </w:pPr>
    </w:p>
    <w:p w14:paraId="1A43DA57" w14:textId="77777777" w:rsidR="00FF64D5" w:rsidRPr="001C1754" w:rsidRDefault="00FF64D5" w:rsidP="001C1754">
      <w:pPr>
        <w:spacing w:after="0" w:line="240" w:lineRule="auto"/>
        <w:rPr>
          <w:rFonts w:ascii="Aptos" w:hAnsi="Aptos"/>
        </w:rPr>
      </w:pPr>
    </w:p>
    <w:p w14:paraId="274A5547" w14:textId="77777777" w:rsidR="00FF64D5" w:rsidRPr="001C1754" w:rsidRDefault="00FF64D5" w:rsidP="001C1754">
      <w:pPr>
        <w:spacing w:after="0" w:line="240" w:lineRule="auto"/>
        <w:rPr>
          <w:rFonts w:ascii="Aptos" w:hAnsi="Aptos"/>
        </w:rPr>
      </w:pPr>
    </w:p>
    <w:p w14:paraId="1408C226" w14:textId="77777777" w:rsidR="00FF64D5" w:rsidRPr="001C1754" w:rsidRDefault="00FF64D5" w:rsidP="001C1754">
      <w:pPr>
        <w:spacing w:after="0" w:line="240" w:lineRule="auto"/>
        <w:rPr>
          <w:rFonts w:ascii="Aptos" w:hAnsi="Aptos"/>
        </w:rPr>
      </w:pPr>
    </w:p>
    <w:p w14:paraId="1BD8DF17" w14:textId="77777777" w:rsidR="00FF64D5" w:rsidRPr="001C1754" w:rsidRDefault="00FF64D5" w:rsidP="001C1754">
      <w:pPr>
        <w:spacing w:after="0" w:line="240" w:lineRule="auto"/>
        <w:rPr>
          <w:rFonts w:ascii="Aptos" w:hAnsi="Aptos"/>
        </w:rPr>
      </w:pPr>
    </w:p>
    <w:p w14:paraId="319D379A" w14:textId="77777777" w:rsidR="00FF64D5" w:rsidRPr="001C1754" w:rsidRDefault="00FF64D5" w:rsidP="001C1754">
      <w:pPr>
        <w:spacing w:after="0" w:line="240" w:lineRule="auto"/>
        <w:rPr>
          <w:rFonts w:ascii="Aptos" w:hAnsi="Aptos"/>
        </w:rPr>
      </w:pPr>
    </w:p>
    <w:p w14:paraId="5A6304D9" w14:textId="77777777" w:rsidR="00FF64D5" w:rsidRPr="001C1754" w:rsidRDefault="00FF64D5" w:rsidP="001C1754">
      <w:pPr>
        <w:spacing w:after="0" w:line="240" w:lineRule="auto"/>
        <w:rPr>
          <w:rFonts w:ascii="Aptos" w:hAnsi="Aptos"/>
        </w:rPr>
      </w:pPr>
    </w:p>
    <w:p w14:paraId="44C65C77" w14:textId="77777777" w:rsidR="00FF64D5" w:rsidRPr="001C1754" w:rsidRDefault="00FF64D5" w:rsidP="001C1754">
      <w:pPr>
        <w:spacing w:after="0" w:line="240" w:lineRule="auto"/>
        <w:rPr>
          <w:rFonts w:ascii="Aptos" w:hAnsi="Aptos"/>
        </w:rPr>
      </w:pPr>
    </w:p>
    <w:p w14:paraId="1A5A81E2" w14:textId="77777777" w:rsidR="00FF64D5" w:rsidRPr="001C1754" w:rsidRDefault="00FF64D5" w:rsidP="001C1754">
      <w:pPr>
        <w:spacing w:after="0" w:line="240" w:lineRule="auto"/>
        <w:rPr>
          <w:rFonts w:ascii="Aptos" w:hAnsi="Aptos"/>
        </w:rPr>
      </w:pPr>
    </w:p>
    <w:p w14:paraId="2949CE20" w14:textId="77777777" w:rsidR="00FF64D5" w:rsidRDefault="00FF64D5" w:rsidP="001C1754">
      <w:pPr>
        <w:spacing w:after="0" w:line="240" w:lineRule="auto"/>
        <w:rPr>
          <w:rFonts w:ascii="Aptos" w:hAnsi="Aptos"/>
        </w:rPr>
      </w:pPr>
    </w:p>
    <w:p w14:paraId="0BDE5B1E" w14:textId="77777777" w:rsidR="001C1754" w:rsidRDefault="001C1754" w:rsidP="001C1754">
      <w:pPr>
        <w:spacing w:after="0" w:line="240" w:lineRule="auto"/>
        <w:rPr>
          <w:rFonts w:ascii="Aptos" w:hAnsi="Aptos"/>
        </w:rPr>
      </w:pPr>
    </w:p>
    <w:p w14:paraId="5E6547B7" w14:textId="77777777" w:rsidR="001C1754" w:rsidRDefault="001C1754" w:rsidP="001C1754">
      <w:pPr>
        <w:spacing w:after="0" w:line="240" w:lineRule="auto"/>
        <w:rPr>
          <w:rFonts w:ascii="Aptos" w:hAnsi="Aptos"/>
        </w:rPr>
      </w:pPr>
    </w:p>
    <w:p w14:paraId="53D111A0" w14:textId="77777777" w:rsidR="001C1754" w:rsidRDefault="001C1754" w:rsidP="001C1754">
      <w:pPr>
        <w:spacing w:after="0" w:line="240" w:lineRule="auto"/>
        <w:rPr>
          <w:rFonts w:ascii="Aptos" w:hAnsi="Aptos"/>
        </w:rPr>
      </w:pPr>
    </w:p>
    <w:p w14:paraId="492737EA" w14:textId="77777777" w:rsidR="001C1754" w:rsidRDefault="001C1754" w:rsidP="001C1754">
      <w:pPr>
        <w:spacing w:after="0" w:line="240" w:lineRule="auto"/>
        <w:rPr>
          <w:rFonts w:ascii="Aptos" w:hAnsi="Aptos"/>
        </w:rPr>
      </w:pPr>
    </w:p>
    <w:p w14:paraId="0790A6A9" w14:textId="77777777" w:rsidR="001C1754" w:rsidRDefault="001C1754" w:rsidP="001C1754">
      <w:pPr>
        <w:spacing w:after="0" w:line="240" w:lineRule="auto"/>
        <w:rPr>
          <w:rFonts w:ascii="Aptos" w:hAnsi="Aptos"/>
        </w:rPr>
      </w:pPr>
    </w:p>
    <w:p w14:paraId="304DDFD8" w14:textId="77777777" w:rsidR="001C1754" w:rsidRDefault="001C1754" w:rsidP="001C1754">
      <w:pPr>
        <w:spacing w:after="0" w:line="240" w:lineRule="auto"/>
        <w:rPr>
          <w:rFonts w:ascii="Aptos" w:hAnsi="Aptos"/>
        </w:rPr>
      </w:pPr>
    </w:p>
    <w:p w14:paraId="7ADF8B6A" w14:textId="77777777" w:rsidR="001C1754" w:rsidRDefault="001C1754" w:rsidP="001C1754">
      <w:pPr>
        <w:spacing w:after="0" w:line="240" w:lineRule="auto"/>
        <w:rPr>
          <w:rFonts w:ascii="Aptos" w:hAnsi="Aptos"/>
        </w:rPr>
      </w:pPr>
    </w:p>
    <w:p w14:paraId="74418CDC" w14:textId="77777777" w:rsidR="001C1754" w:rsidRDefault="001C1754" w:rsidP="001C1754">
      <w:pPr>
        <w:spacing w:after="0" w:line="240" w:lineRule="auto"/>
        <w:rPr>
          <w:rFonts w:ascii="Aptos" w:hAnsi="Aptos"/>
        </w:rPr>
      </w:pPr>
    </w:p>
    <w:p w14:paraId="6EB5125E" w14:textId="77777777" w:rsidR="001C1754" w:rsidRDefault="001C1754" w:rsidP="001C1754">
      <w:pPr>
        <w:spacing w:after="0" w:line="240" w:lineRule="auto"/>
        <w:rPr>
          <w:rFonts w:ascii="Aptos" w:hAnsi="Aptos"/>
        </w:rPr>
      </w:pPr>
    </w:p>
    <w:p w14:paraId="7FFE21C8" w14:textId="77777777" w:rsidR="001C1754" w:rsidRDefault="001C1754" w:rsidP="001C1754">
      <w:pPr>
        <w:spacing w:after="0" w:line="240" w:lineRule="auto"/>
        <w:rPr>
          <w:rFonts w:ascii="Aptos" w:hAnsi="Aptos"/>
        </w:rPr>
      </w:pPr>
    </w:p>
    <w:p w14:paraId="188CD314" w14:textId="77777777" w:rsidR="001C1754" w:rsidRDefault="001C1754" w:rsidP="001C1754">
      <w:pPr>
        <w:spacing w:after="0" w:line="240" w:lineRule="auto"/>
        <w:rPr>
          <w:rFonts w:ascii="Aptos" w:hAnsi="Aptos"/>
        </w:rPr>
      </w:pPr>
    </w:p>
    <w:p w14:paraId="739E11C8" w14:textId="77777777" w:rsidR="001C1754" w:rsidRDefault="001C1754" w:rsidP="001C1754">
      <w:pPr>
        <w:spacing w:after="0" w:line="240" w:lineRule="auto"/>
        <w:rPr>
          <w:rFonts w:ascii="Aptos" w:hAnsi="Aptos"/>
        </w:rPr>
      </w:pPr>
    </w:p>
    <w:p w14:paraId="026D843E" w14:textId="77777777" w:rsidR="001C1754" w:rsidRDefault="001C1754" w:rsidP="001C1754">
      <w:pPr>
        <w:spacing w:after="0" w:line="240" w:lineRule="auto"/>
        <w:rPr>
          <w:rFonts w:ascii="Aptos" w:hAnsi="Aptos"/>
        </w:rPr>
      </w:pPr>
    </w:p>
    <w:p w14:paraId="74DE13C8" w14:textId="77777777" w:rsidR="001C1754" w:rsidRDefault="001C1754" w:rsidP="001C1754">
      <w:pPr>
        <w:spacing w:after="0" w:line="240" w:lineRule="auto"/>
        <w:rPr>
          <w:rFonts w:ascii="Aptos" w:hAnsi="Aptos"/>
        </w:rPr>
      </w:pPr>
    </w:p>
    <w:p w14:paraId="3E318A57" w14:textId="77777777" w:rsidR="001C1754" w:rsidRDefault="001C1754" w:rsidP="001C1754">
      <w:pPr>
        <w:spacing w:after="0" w:line="240" w:lineRule="auto"/>
        <w:rPr>
          <w:rFonts w:ascii="Aptos" w:hAnsi="Aptos"/>
        </w:rPr>
      </w:pPr>
    </w:p>
    <w:p w14:paraId="2A5A8870" w14:textId="77777777" w:rsidR="001C1754" w:rsidRPr="001C1754" w:rsidRDefault="001C1754" w:rsidP="001C1754">
      <w:pPr>
        <w:spacing w:after="0" w:line="240" w:lineRule="auto"/>
        <w:rPr>
          <w:rFonts w:ascii="Aptos" w:hAnsi="Aptos"/>
        </w:rPr>
      </w:pPr>
    </w:p>
    <w:p w14:paraId="25374222" w14:textId="77777777" w:rsidR="00FF64D5" w:rsidRPr="001C1754" w:rsidRDefault="00FF64D5" w:rsidP="001C1754">
      <w:pPr>
        <w:spacing w:after="0" w:line="240" w:lineRule="auto"/>
        <w:rPr>
          <w:rFonts w:ascii="Aptos" w:hAnsi="Aptos"/>
        </w:rPr>
      </w:pPr>
    </w:p>
    <w:p w14:paraId="5B0F7794" w14:textId="77777777" w:rsidR="00FF64D5" w:rsidRPr="001C1754" w:rsidRDefault="00FF64D5" w:rsidP="001C1754">
      <w:pPr>
        <w:spacing w:after="0" w:line="240" w:lineRule="auto"/>
        <w:rPr>
          <w:rFonts w:ascii="Aptos" w:hAnsi="Aptos"/>
        </w:rPr>
      </w:pPr>
    </w:p>
    <w:p w14:paraId="5D0F442B" w14:textId="77777777" w:rsidR="00FF64D5" w:rsidRPr="001C1754" w:rsidRDefault="00FF64D5" w:rsidP="001C1754">
      <w:pPr>
        <w:spacing w:after="0" w:line="240" w:lineRule="auto"/>
        <w:rPr>
          <w:rFonts w:ascii="Aptos" w:hAnsi="Aptos"/>
        </w:rPr>
      </w:pPr>
    </w:p>
    <w:p w14:paraId="633C0377" w14:textId="77777777" w:rsidR="00FF64D5" w:rsidRPr="001C1754" w:rsidRDefault="00FF64D5" w:rsidP="001C1754">
      <w:pPr>
        <w:spacing w:after="0" w:line="240" w:lineRule="auto"/>
        <w:rPr>
          <w:rFonts w:ascii="Aptos" w:hAnsi="Aptos"/>
        </w:rPr>
      </w:pPr>
    </w:p>
    <w:p w14:paraId="7A841B30" w14:textId="77777777" w:rsidR="00FF64D5" w:rsidRPr="001C1754" w:rsidRDefault="00FF64D5" w:rsidP="001C1754">
      <w:pPr>
        <w:spacing w:after="0" w:line="240" w:lineRule="auto"/>
        <w:rPr>
          <w:rFonts w:ascii="Aptos" w:hAnsi="Aptos"/>
        </w:rPr>
      </w:pPr>
    </w:p>
    <w:p w14:paraId="4EA5EE1E" w14:textId="77777777" w:rsidR="00FF64D5" w:rsidRPr="001C1754" w:rsidRDefault="00FF64D5" w:rsidP="001C1754">
      <w:pPr>
        <w:spacing w:after="0" w:line="240" w:lineRule="auto"/>
        <w:rPr>
          <w:rFonts w:ascii="Aptos" w:hAnsi="Aptos"/>
        </w:rPr>
      </w:pPr>
    </w:p>
    <w:p w14:paraId="01BF3C0E" w14:textId="77777777" w:rsidR="00FF64D5" w:rsidRPr="001C1754" w:rsidRDefault="00FF64D5" w:rsidP="001C1754">
      <w:pPr>
        <w:pStyle w:val="Heading1"/>
        <w:spacing w:before="0" w:after="0" w:line="240" w:lineRule="auto"/>
        <w:jc w:val="both"/>
        <w:rPr>
          <w:rFonts w:ascii="Aptos" w:hAnsi="Aptos" w:cs="Arial"/>
        </w:rPr>
      </w:pPr>
      <w:bookmarkStart w:id="0" w:name="_Toc196746723"/>
      <w:r w:rsidRPr="001C1754">
        <w:rPr>
          <w:rFonts w:ascii="Aptos" w:hAnsi="Aptos" w:cs="Arial"/>
        </w:rPr>
        <w:lastRenderedPageBreak/>
        <w:t>Definitions</w:t>
      </w:r>
      <w:bookmarkEnd w:id="0"/>
    </w:p>
    <w:p w14:paraId="7E72D16E" w14:textId="3DA72E00" w:rsidR="00FF64D5" w:rsidRPr="001C1754" w:rsidRDefault="00FF64D5" w:rsidP="00BF35E9">
      <w:pPr>
        <w:pStyle w:val="ListParagraph"/>
        <w:numPr>
          <w:ilvl w:val="0"/>
          <w:numId w:val="2"/>
        </w:numPr>
        <w:spacing w:after="0" w:line="240" w:lineRule="auto"/>
        <w:rPr>
          <w:rFonts w:ascii="Aptos" w:hAnsi="Aptos" w:cs="Arial"/>
        </w:rPr>
      </w:pPr>
      <w:r w:rsidRPr="001C1754">
        <w:rPr>
          <w:rFonts w:ascii="Aptos" w:hAnsi="Aptos" w:cs="Arial"/>
        </w:rPr>
        <w:t xml:space="preserve">BME - Black and Minority Ethnic:  At Sandwell and West </w:t>
      </w:r>
      <w:proofErr w:type="gramStart"/>
      <w:r w:rsidRPr="001C1754">
        <w:rPr>
          <w:rFonts w:ascii="Aptos" w:hAnsi="Aptos" w:cs="Arial"/>
        </w:rPr>
        <w:t>Birmingham  NHS</w:t>
      </w:r>
      <w:proofErr w:type="gramEnd"/>
      <w:r w:rsidRPr="001C1754">
        <w:rPr>
          <w:rFonts w:ascii="Aptos" w:hAnsi="Aptos" w:cs="Arial"/>
        </w:rPr>
        <w:t xml:space="preserve"> Trust, we currently use the terminology BME Black and Minority Ethnic throughout this report in line with current terminology used in </w:t>
      </w:r>
      <w:proofErr w:type="gramStart"/>
      <w:r w:rsidRPr="001C1754">
        <w:rPr>
          <w:rFonts w:ascii="Aptos" w:hAnsi="Aptos" w:cs="Arial"/>
        </w:rPr>
        <w:t>the  WRES</w:t>
      </w:r>
      <w:proofErr w:type="gramEnd"/>
      <w:r w:rsidRPr="001C1754">
        <w:rPr>
          <w:rFonts w:ascii="Aptos" w:hAnsi="Aptos" w:cs="Arial"/>
        </w:rPr>
        <w:t xml:space="preserve"> Mandated Standards. The data sets in this report compare the experience of Black and Minority Ethnic (BME) staff to White staff. </w:t>
      </w:r>
    </w:p>
    <w:p w14:paraId="72317585" w14:textId="14543B47" w:rsidR="00FF64D5" w:rsidRPr="001C1754" w:rsidRDefault="00FF64D5" w:rsidP="001C1754">
      <w:pPr>
        <w:pStyle w:val="ListParagraph"/>
        <w:numPr>
          <w:ilvl w:val="0"/>
          <w:numId w:val="2"/>
        </w:numPr>
        <w:spacing w:after="0" w:line="240" w:lineRule="auto"/>
        <w:jc w:val="both"/>
        <w:rPr>
          <w:rFonts w:ascii="Aptos" w:hAnsi="Aptos" w:cs="Arial"/>
        </w:rPr>
      </w:pPr>
      <w:r w:rsidRPr="001C1754">
        <w:rPr>
          <w:rFonts w:ascii="Aptos" w:hAnsi="Aptos" w:cs="Arial"/>
        </w:rPr>
        <w:t>NHS – National Health Service</w:t>
      </w:r>
    </w:p>
    <w:p w14:paraId="6E7674D6" w14:textId="77777777" w:rsidR="00FF64D5" w:rsidRPr="001C1754" w:rsidRDefault="00FF64D5" w:rsidP="001C1754">
      <w:pPr>
        <w:pStyle w:val="ListParagraph"/>
        <w:numPr>
          <w:ilvl w:val="0"/>
          <w:numId w:val="2"/>
        </w:numPr>
        <w:spacing w:after="0" w:line="240" w:lineRule="auto"/>
        <w:jc w:val="both"/>
        <w:rPr>
          <w:rFonts w:ascii="Aptos" w:hAnsi="Aptos" w:cs="Arial"/>
        </w:rPr>
      </w:pPr>
      <w:r w:rsidRPr="001C1754">
        <w:rPr>
          <w:rFonts w:ascii="Aptos" w:hAnsi="Aptos" w:cs="Arial"/>
        </w:rPr>
        <w:t>WRES - Workforce Race Equality Standard</w:t>
      </w:r>
    </w:p>
    <w:p w14:paraId="516D29F5" w14:textId="77777777" w:rsidR="00FF64D5" w:rsidRDefault="00FF64D5" w:rsidP="001C1754">
      <w:pPr>
        <w:pStyle w:val="ListParagraph"/>
        <w:numPr>
          <w:ilvl w:val="0"/>
          <w:numId w:val="2"/>
        </w:numPr>
        <w:spacing w:after="0" w:line="240" w:lineRule="auto"/>
        <w:jc w:val="both"/>
        <w:rPr>
          <w:rFonts w:ascii="Aptos" w:hAnsi="Aptos" w:cs="Arial"/>
        </w:rPr>
      </w:pPr>
      <w:r w:rsidRPr="001C1754">
        <w:rPr>
          <w:rFonts w:ascii="Aptos" w:hAnsi="Aptos" w:cs="Arial"/>
        </w:rPr>
        <w:t xml:space="preserve">CPD – Continuous Professional Development </w:t>
      </w:r>
    </w:p>
    <w:p w14:paraId="6A5F4F5C" w14:textId="77777777" w:rsidR="001C1754" w:rsidRPr="001C1754" w:rsidRDefault="001C1754" w:rsidP="001C1754">
      <w:pPr>
        <w:pStyle w:val="ListParagraph"/>
        <w:spacing w:after="0" w:line="240" w:lineRule="auto"/>
        <w:jc w:val="both"/>
        <w:rPr>
          <w:rFonts w:ascii="Aptos" w:hAnsi="Aptos" w:cs="Arial"/>
        </w:rPr>
      </w:pPr>
    </w:p>
    <w:p w14:paraId="63EF6B5A" w14:textId="77777777" w:rsidR="00FF64D5" w:rsidRPr="001C1754" w:rsidRDefault="00FF64D5" w:rsidP="001C1754">
      <w:pPr>
        <w:pStyle w:val="Heading1"/>
        <w:spacing w:before="0" w:after="0" w:line="240" w:lineRule="auto"/>
        <w:jc w:val="both"/>
        <w:rPr>
          <w:rFonts w:ascii="Aptos" w:hAnsi="Aptos" w:cs="Arial"/>
        </w:rPr>
      </w:pPr>
      <w:bookmarkStart w:id="1" w:name="_Toc196746724"/>
      <w:r w:rsidRPr="001C1754">
        <w:rPr>
          <w:rFonts w:ascii="Aptos" w:hAnsi="Aptos" w:cs="Arial"/>
        </w:rPr>
        <w:t>Introduction</w:t>
      </w:r>
      <w:bookmarkEnd w:id="1"/>
    </w:p>
    <w:p w14:paraId="7043FD2E" w14:textId="628A5B78" w:rsidR="00CF3E86" w:rsidRDefault="00CF3E86" w:rsidP="00BF35E9">
      <w:r w:rsidRPr="001C1754">
        <w:t xml:space="preserve">The Workforce Race Equality Standard (WRES), implemented in 2016, is a </w:t>
      </w:r>
      <w:r w:rsidR="00A06CDA" w:rsidRPr="001C1754">
        <w:t>nationally</w:t>
      </w:r>
      <w:r w:rsidRPr="001C1754">
        <w:t xml:space="preserve"> </w:t>
      </w:r>
      <w:r w:rsidR="00A06CDA" w:rsidRPr="001C1754">
        <w:t>mandated standard</w:t>
      </w:r>
      <w:r w:rsidRPr="001C1754">
        <w:t xml:space="preserve"> aimed at improving workplace experiences and career progression for NHS staff from Black and Minority Ethnic backgrounds</w:t>
      </w:r>
      <w:r w:rsidR="001C1754">
        <w:t xml:space="preserve"> </w:t>
      </w:r>
      <w:r w:rsidRPr="001C1754">
        <w:t>(BME)</w:t>
      </w:r>
      <w:r w:rsidR="001C1754">
        <w:t>.</w:t>
      </w:r>
      <w:r w:rsidRPr="001C1754">
        <w:t xml:space="preserve"> It consists of nine specific metrics that allow organisations to compare the experiences of employees from BME backgrounds with those of white staff, enabling the identification of disparities and supporting targeted improvement efforts.</w:t>
      </w:r>
    </w:p>
    <w:p w14:paraId="3E263718" w14:textId="77777777" w:rsidR="001C1754" w:rsidRPr="001C1754" w:rsidRDefault="001C1754" w:rsidP="00BF35E9"/>
    <w:p w14:paraId="7B54B615" w14:textId="58C0D307" w:rsidR="00CF3E86" w:rsidRPr="001C1754" w:rsidRDefault="00CF3E86" w:rsidP="00BF35E9">
      <w:r w:rsidRPr="001C1754">
        <w:t xml:space="preserve">This report outlines Sandwell and West Birmingham’s performance against the WRES metrics for 2025, highlighting key trends, areas of progress, and areas for </w:t>
      </w:r>
      <w:proofErr w:type="gramStart"/>
      <w:r w:rsidRPr="001C1754">
        <w:t>improvement  It</w:t>
      </w:r>
      <w:proofErr w:type="gramEnd"/>
      <w:r w:rsidRPr="001C1754">
        <w:t xml:space="preserve"> provides a foundation for</w:t>
      </w:r>
      <w:r w:rsidR="008F6FE9" w:rsidRPr="001C1754">
        <w:t xml:space="preserve"> the</w:t>
      </w:r>
      <w:r w:rsidRPr="001C1754">
        <w:t xml:space="preserve"> actions required to advance racial equity across the Trust.</w:t>
      </w:r>
    </w:p>
    <w:p w14:paraId="2B333F41" w14:textId="77777777" w:rsidR="001C1754" w:rsidRDefault="00CF3E86" w:rsidP="00BF35E9">
      <w:r w:rsidRPr="001C1754">
        <w:t xml:space="preserve">The data presented draws from the Electronic Staff Record (ESR) and the NHS Annual Staff Survey. As these sources use differing staff group terminology, variations in language are reflected in the report. </w:t>
      </w:r>
    </w:p>
    <w:p w14:paraId="09BF7C64" w14:textId="77777777" w:rsidR="001C1754" w:rsidRDefault="001C1754" w:rsidP="00BF35E9"/>
    <w:p w14:paraId="32C6AC9B" w14:textId="77777777" w:rsidR="008F67AA" w:rsidRDefault="00CF3E86" w:rsidP="00BF35E9">
      <w:r w:rsidRPr="001C1754">
        <w:t>Metrics 5 to 8 are based on responses to the NHS Staff Survey, which in 2024 achieved</w:t>
      </w:r>
    </w:p>
    <w:p w14:paraId="1E8E22FC" w14:textId="44A53881" w:rsidR="008F67AA" w:rsidRPr="008F67AA" w:rsidRDefault="008F67AA" w:rsidP="0051294A">
      <w:r w:rsidRPr="008F67AA">
        <w:t xml:space="preserve">a 34 </w:t>
      </w:r>
      <w:r>
        <w:t xml:space="preserve">% </w:t>
      </w:r>
      <w:r w:rsidRPr="008F67AA">
        <w:t>response rate, which includes 39.93 % from staff who identify as Black and Minority Ethnic.</w:t>
      </w:r>
      <w:r>
        <w:t> </w:t>
      </w:r>
    </w:p>
    <w:p w14:paraId="1BF00A4D" w14:textId="77777777" w:rsidR="001C1754" w:rsidRPr="001C1754" w:rsidRDefault="001C1754" w:rsidP="00BF35E9"/>
    <w:p w14:paraId="091BF1E3" w14:textId="4350EBB5" w:rsidR="00A06CDA" w:rsidRDefault="00CF3E86" w:rsidP="00BF35E9">
      <w:r w:rsidRPr="001C1754">
        <w:t xml:space="preserve">As of March 2025, the Trust employs approximately </w:t>
      </w:r>
      <w:r w:rsidR="00F227DB" w:rsidRPr="001C1754">
        <w:t>7347</w:t>
      </w:r>
      <w:r w:rsidRPr="001C1754">
        <w:t xml:space="preserve"> staff</w:t>
      </w:r>
      <w:r w:rsidR="00A06CDA" w:rsidRPr="001C1754">
        <w:t>,</w:t>
      </w:r>
      <w:r w:rsidRPr="001C1754">
        <w:t xml:space="preserve"> with </w:t>
      </w:r>
      <w:r w:rsidR="00F227DB" w:rsidRPr="001C1754">
        <w:t>45%</w:t>
      </w:r>
      <w:r w:rsidRPr="001C1754">
        <w:t xml:space="preserve"> </w:t>
      </w:r>
      <w:r w:rsidR="00A06CDA" w:rsidRPr="001C1754">
        <w:t xml:space="preserve">who identify as being from </w:t>
      </w:r>
      <w:r w:rsidR="001C1754">
        <w:t>a BME background</w:t>
      </w:r>
      <w:r w:rsidRPr="001C1754">
        <w:t xml:space="preserve">. Additionally, the proportion of staff who have not disclosed their ethnicity has </w:t>
      </w:r>
      <w:r w:rsidR="00F227DB" w:rsidRPr="001C1754">
        <w:t>improved from 10% to 11%</w:t>
      </w:r>
      <w:r w:rsidRPr="001C1754">
        <w:t xml:space="preserve"> indicating improved data accuracy and improvements overall in our equality data collection and monitoring processes.</w:t>
      </w:r>
    </w:p>
    <w:p w14:paraId="7AB92A02" w14:textId="77777777" w:rsidR="001C1754" w:rsidRPr="001C1754" w:rsidRDefault="001C1754" w:rsidP="001C1754">
      <w:pPr>
        <w:pStyle w:val="NormalWeb"/>
        <w:spacing w:before="0" w:beforeAutospacing="0" w:after="0" w:afterAutospacing="0"/>
        <w:jc w:val="both"/>
        <w:rPr>
          <w:rFonts w:ascii="Aptos" w:hAnsi="Aptos" w:cs="Arial"/>
        </w:rPr>
      </w:pPr>
    </w:p>
    <w:p w14:paraId="32F791AA" w14:textId="5E9BE758" w:rsidR="001009AE" w:rsidRPr="001009AE" w:rsidRDefault="00FF64D5" w:rsidP="001009AE">
      <w:pPr>
        <w:pStyle w:val="Heading1"/>
        <w:spacing w:before="0" w:after="0" w:line="240" w:lineRule="auto"/>
        <w:jc w:val="both"/>
        <w:rPr>
          <w:rFonts w:ascii="Aptos" w:hAnsi="Aptos" w:cs="Arial"/>
        </w:rPr>
      </w:pPr>
      <w:bookmarkStart w:id="2" w:name="_Toc196746725"/>
      <w:r w:rsidRPr="001C1754">
        <w:rPr>
          <w:rFonts w:ascii="Aptos" w:hAnsi="Aptos" w:cs="Arial"/>
        </w:rPr>
        <w:lastRenderedPageBreak/>
        <w:t>Executive Summary</w:t>
      </w:r>
      <w:bookmarkEnd w:id="2"/>
    </w:p>
    <w:p w14:paraId="29649E7B" w14:textId="7E035D25" w:rsidR="00A06CDA" w:rsidRDefault="00A06CDA" w:rsidP="001C1754">
      <w:pPr>
        <w:pStyle w:val="NormalWeb"/>
        <w:spacing w:before="0" w:beforeAutospacing="0" w:after="0" w:afterAutospacing="0"/>
        <w:rPr>
          <w:rFonts w:ascii="Aptos" w:hAnsi="Aptos" w:cs="Arial"/>
        </w:rPr>
      </w:pPr>
      <w:r w:rsidRPr="001C1754">
        <w:rPr>
          <w:rFonts w:ascii="Aptos" w:hAnsi="Aptos" w:cs="Arial"/>
        </w:rPr>
        <w:t>At Sandwell and West Birmingha</w:t>
      </w:r>
      <w:r w:rsidR="008F6FE9" w:rsidRPr="001C1754">
        <w:rPr>
          <w:rFonts w:ascii="Aptos" w:hAnsi="Aptos" w:cs="Arial"/>
        </w:rPr>
        <w:t>m NHS Trust</w:t>
      </w:r>
      <w:r w:rsidRPr="001C1754">
        <w:rPr>
          <w:rFonts w:ascii="Aptos" w:hAnsi="Aptos" w:cs="Arial"/>
        </w:rPr>
        <w:t>, we are dedicated to creating an inclusive culture where diversity is not only valued and supported but also integrated into every aspect of our organisation. We believe that a diverse and engaged workforce is vital for delivering high-quality, compass</w:t>
      </w:r>
      <w:r w:rsidR="008F6FE9" w:rsidRPr="001C1754">
        <w:rPr>
          <w:rFonts w:ascii="Aptos" w:hAnsi="Aptos" w:cs="Arial"/>
        </w:rPr>
        <w:t xml:space="preserve">ionate care </w:t>
      </w:r>
      <w:r w:rsidRPr="001C1754">
        <w:rPr>
          <w:rFonts w:ascii="Aptos" w:hAnsi="Aptos" w:cs="Arial"/>
        </w:rPr>
        <w:t xml:space="preserve">for our </w:t>
      </w:r>
      <w:r w:rsidR="008F6FE9" w:rsidRPr="001C1754">
        <w:rPr>
          <w:rFonts w:ascii="Aptos" w:hAnsi="Aptos" w:cs="Arial"/>
        </w:rPr>
        <w:t>diverse patient population.</w:t>
      </w:r>
    </w:p>
    <w:p w14:paraId="212EC96D" w14:textId="77777777" w:rsidR="001C1754" w:rsidRDefault="001C1754" w:rsidP="001C1754">
      <w:pPr>
        <w:pStyle w:val="NormalWeb"/>
        <w:spacing w:before="0" w:beforeAutospacing="0" w:after="0" w:afterAutospacing="0"/>
        <w:rPr>
          <w:rFonts w:ascii="Aptos" w:hAnsi="Aptos" w:cs="Arial"/>
        </w:rPr>
      </w:pPr>
    </w:p>
    <w:p w14:paraId="6DAF458E" w14:textId="32FEBEFD" w:rsidR="001C1754" w:rsidRDefault="001C1754" w:rsidP="001C1754">
      <w:pPr>
        <w:spacing w:after="0" w:line="240" w:lineRule="auto"/>
        <w:rPr>
          <w:rFonts w:asciiTheme="majorHAnsi" w:hAnsiTheme="majorHAnsi" w:cstheme="majorHAnsi"/>
        </w:rPr>
      </w:pPr>
      <w:r>
        <w:rPr>
          <w:rFonts w:asciiTheme="majorHAnsi" w:hAnsiTheme="majorHAnsi" w:cstheme="majorHAnsi"/>
        </w:rPr>
        <w:t xml:space="preserve">Equality Diversity and Inclusion </w:t>
      </w:r>
      <w:r w:rsidRPr="004F3012">
        <w:rPr>
          <w:rFonts w:asciiTheme="majorHAnsi" w:hAnsiTheme="majorHAnsi" w:cstheme="majorHAnsi"/>
        </w:rPr>
        <w:t xml:space="preserve">is </w:t>
      </w:r>
      <w:r>
        <w:rPr>
          <w:rFonts w:asciiTheme="majorHAnsi" w:hAnsiTheme="majorHAnsi" w:cstheme="majorHAnsi"/>
        </w:rPr>
        <w:t xml:space="preserve">also </w:t>
      </w:r>
      <w:r w:rsidRPr="004F3012">
        <w:rPr>
          <w:rFonts w:asciiTheme="majorHAnsi" w:hAnsiTheme="majorHAnsi" w:cstheme="majorHAnsi"/>
        </w:rPr>
        <w:t xml:space="preserve">an integral part of </w:t>
      </w:r>
      <w:r w:rsidR="001B05F9">
        <w:rPr>
          <w:rFonts w:asciiTheme="majorHAnsi" w:hAnsiTheme="majorHAnsi" w:cstheme="majorHAnsi"/>
        </w:rPr>
        <w:t>our</w:t>
      </w:r>
      <w:r w:rsidRPr="004F3012">
        <w:rPr>
          <w:rFonts w:asciiTheme="majorHAnsi" w:hAnsiTheme="majorHAnsi" w:cstheme="majorHAnsi"/>
        </w:rPr>
        <w:t xml:space="preserve"> </w:t>
      </w:r>
      <w:r w:rsidR="001B05F9">
        <w:rPr>
          <w:rFonts w:asciiTheme="majorHAnsi" w:hAnsiTheme="majorHAnsi" w:cstheme="majorHAnsi"/>
        </w:rPr>
        <w:t xml:space="preserve">“With you all the way” </w:t>
      </w:r>
      <w:r w:rsidRPr="004F3012">
        <w:rPr>
          <w:rFonts w:asciiTheme="majorHAnsi" w:hAnsiTheme="majorHAnsi" w:cstheme="majorHAnsi"/>
        </w:rPr>
        <w:t xml:space="preserve"> staff experience and culture transformation journey </w:t>
      </w:r>
      <w:r w:rsidR="001B05F9">
        <w:rPr>
          <w:rFonts w:asciiTheme="majorHAnsi" w:hAnsiTheme="majorHAnsi" w:cstheme="majorHAnsi"/>
        </w:rPr>
        <w:t xml:space="preserve">. </w:t>
      </w:r>
      <w:r>
        <w:rPr>
          <w:rFonts w:asciiTheme="majorHAnsi" w:hAnsiTheme="majorHAnsi" w:cstheme="majorHAnsi"/>
        </w:rPr>
        <w:t>Our Trust EDI</w:t>
      </w:r>
      <w:r w:rsidRPr="004F3012">
        <w:rPr>
          <w:rFonts w:asciiTheme="majorHAnsi" w:hAnsiTheme="majorHAnsi" w:cstheme="majorHAnsi"/>
        </w:rPr>
        <w:t xml:space="preserve"> Plan incorporates key programmes of work set out within the People Plan that impact on EDI from a culture and staff experience perspective and  also includes  specific additional work programmes  designed to help us get  the basics right with regards to our EDI obligations , address consistent underperformance in workforce representation and set up the building blocks necessary  to creating a strong foundation to build a more diverse and inclusive organisation . </w:t>
      </w:r>
    </w:p>
    <w:p w14:paraId="09067728" w14:textId="77777777" w:rsidR="001C1754" w:rsidRPr="004F3012" w:rsidRDefault="001C1754" w:rsidP="001C1754">
      <w:pPr>
        <w:spacing w:after="0" w:line="240" w:lineRule="auto"/>
        <w:rPr>
          <w:rFonts w:asciiTheme="majorHAnsi" w:hAnsiTheme="majorHAnsi" w:cstheme="majorHAnsi"/>
        </w:rPr>
      </w:pPr>
    </w:p>
    <w:p w14:paraId="5815FDB7" w14:textId="3A0CB29C" w:rsidR="001C1754" w:rsidRPr="004F3012" w:rsidRDefault="001B05F9" w:rsidP="001C1754">
      <w:pPr>
        <w:spacing w:after="0" w:line="240" w:lineRule="auto"/>
        <w:rPr>
          <w:rFonts w:asciiTheme="majorHAnsi" w:hAnsiTheme="majorHAnsi" w:cstheme="majorHAnsi"/>
        </w:rPr>
      </w:pPr>
      <w:r>
        <w:rPr>
          <w:rFonts w:asciiTheme="majorHAnsi" w:hAnsiTheme="majorHAnsi" w:cstheme="majorHAnsi"/>
          <w:noProof/>
        </w:rPr>
        <w:drawing>
          <wp:inline distT="0" distB="0" distL="0" distR="0" wp14:anchorId="09453B0D" wp14:editId="4438C05A">
            <wp:extent cx="4114800" cy="2279411"/>
            <wp:effectExtent l="0" t="0" r="0" b="6985"/>
            <wp:docPr id="394545054" name="Picture 2" descr="A Four-part diagram showing leadership, compassion, inclusion, and staff experience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45054" name="Picture 2" descr="A Four-part diagram showing leadership, compassion, inclusion, and staff experience working togeth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341" cy="2293559"/>
                    </a:xfrm>
                    <a:prstGeom prst="rect">
                      <a:avLst/>
                    </a:prstGeom>
                    <a:noFill/>
                  </pic:spPr>
                </pic:pic>
              </a:graphicData>
            </a:graphic>
          </wp:inline>
        </w:drawing>
      </w:r>
    </w:p>
    <w:p w14:paraId="300147DE" w14:textId="77777777" w:rsidR="001C1754" w:rsidRPr="001C1754" w:rsidRDefault="001C1754" w:rsidP="001C1754">
      <w:pPr>
        <w:pStyle w:val="NormalWeb"/>
        <w:spacing w:before="0" w:beforeAutospacing="0" w:after="0" w:afterAutospacing="0"/>
        <w:rPr>
          <w:rFonts w:ascii="Aptos" w:hAnsi="Aptos" w:cs="Arial"/>
        </w:rPr>
      </w:pPr>
    </w:p>
    <w:p w14:paraId="6AFC8156" w14:textId="774A253D" w:rsidR="001C1754" w:rsidRDefault="001B05F9" w:rsidP="001C1754">
      <w:pPr>
        <w:pStyle w:val="NormalWeb"/>
        <w:spacing w:before="0" w:beforeAutospacing="0" w:after="0" w:afterAutospacing="0"/>
        <w:rPr>
          <w:rFonts w:ascii="Aptos" w:hAnsi="Aptos" w:cs="Arial"/>
        </w:rPr>
      </w:pPr>
      <w:r>
        <w:rPr>
          <w:rFonts w:ascii="Aptos" w:hAnsi="Aptos" w:cs="Arial"/>
        </w:rPr>
        <w:t>(Fig 1: Our SWB EDI Plan</w:t>
      </w:r>
      <w:r w:rsidR="008F67AA">
        <w:rPr>
          <w:rFonts w:ascii="Aptos" w:hAnsi="Aptos" w:cs="Arial"/>
        </w:rPr>
        <w:t>)</w:t>
      </w:r>
    </w:p>
    <w:p w14:paraId="0DF9A16C" w14:textId="77777777" w:rsidR="001B05F9" w:rsidRDefault="001B05F9" w:rsidP="001C1754">
      <w:pPr>
        <w:pStyle w:val="NormalWeb"/>
        <w:spacing w:before="0" w:beforeAutospacing="0" w:after="0" w:afterAutospacing="0"/>
        <w:rPr>
          <w:rFonts w:ascii="Aptos" w:hAnsi="Aptos" w:cs="Arial"/>
        </w:rPr>
      </w:pPr>
    </w:p>
    <w:p w14:paraId="23064E90" w14:textId="5796270C" w:rsidR="00A06CDA" w:rsidRDefault="00A06CDA" w:rsidP="001C1754">
      <w:pPr>
        <w:pStyle w:val="NormalWeb"/>
        <w:spacing w:before="0" w:beforeAutospacing="0" w:after="0" w:afterAutospacing="0"/>
        <w:rPr>
          <w:rFonts w:ascii="Aptos" w:hAnsi="Aptos" w:cs="Arial"/>
        </w:rPr>
      </w:pPr>
      <w:r w:rsidRPr="001C1754">
        <w:rPr>
          <w:rFonts w:ascii="Aptos" w:hAnsi="Aptos" w:cs="Arial"/>
        </w:rPr>
        <w:t>The 2025 Workforce Race Equality Standard (WRES) results highlight both progress and</w:t>
      </w:r>
      <w:r w:rsidR="008F6FE9" w:rsidRPr="001C1754">
        <w:rPr>
          <w:rFonts w:ascii="Aptos" w:hAnsi="Aptos" w:cs="Arial"/>
        </w:rPr>
        <w:t xml:space="preserve"> our areas for improvement.</w:t>
      </w:r>
      <w:r w:rsidRPr="001C1754">
        <w:rPr>
          <w:rFonts w:ascii="Aptos" w:hAnsi="Aptos" w:cs="Arial"/>
        </w:rPr>
        <w:t xml:space="preserve"> While there has been an increase in the representation of staff from </w:t>
      </w:r>
      <w:r w:rsidR="001B05F9">
        <w:rPr>
          <w:rFonts w:ascii="Aptos" w:hAnsi="Aptos" w:cs="Arial"/>
        </w:rPr>
        <w:t>BME</w:t>
      </w:r>
      <w:r w:rsidRPr="001C1754">
        <w:rPr>
          <w:rFonts w:ascii="Aptos" w:hAnsi="Aptos" w:cs="Arial"/>
        </w:rPr>
        <w:t xml:space="preserve"> backgrounds</w:t>
      </w:r>
      <w:r w:rsidR="00220D6F" w:rsidRPr="001C1754">
        <w:rPr>
          <w:rFonts w:ascii="Aptos" w:hAnsi="Aptos" w:cs="Arial"/>
        </w:rPr>
        <w:t xml:space="preserve"> and</w:t>
      </w:r>
      <w:r w:rsidR="00815261" w:rsidRPr="001C1754">
        <w:rPr>
          <w:rFonts w:ascii="Aptos" w:hAnsi="Aptos" w:cs="Arial"/>
        </w:rPr>
        <w:t xml:space="preserve"> improvements in the disciplinary and career progression </w:t>
      </w:r>
      <w:r w:rsidR="00220D6F" w:rsidRPr="001C1754">
        <w:rPr>
          <w:rFonts w:ascii="Aptos" w:hAnsi="Aptos" w:cs="Arial"/>
        </w:rPr>
        <w:t xml:space="preserve">indicators, </w:t>
      </w:r>
      <w:r w:rsidR="001B05F9">
        <w:rPr>
          <w:rFonts w:ascii="Aptos" w:hAnsi="Aptos" w:cs="Arial"/>
        </w:rPr>
        <w:t>i</w:t>
      </w:r>
      <w:r w:rsidR="00220D6F" w:rsidRPr="001C1754">
        <w:rPr>
          <w:rFonts w:ascii="Aptos" w:hAnsi="Aptos" w:cs="Arial"/>
        </w:rPr>
        <w:t xml:space="preserve">t is acknowledged that </w:t>
      </w:r>
      <w:r w:rsidRPr="001C1754">
        <w:rPr>
          <w:rFonts w:ascii="Aptos" w:hAnsi="Aptos" w:cs="Arial"/>
        </w:rPr>
        <w:t xml:space="preserve">inequalities persist in areas such as recruitment, </w:t>
      </w:r>
      <w:r w:rsidR="0051462F" w:rsidRPr="001C1754">
        <w:rPr>
          <w:rFonts w:ascii="Aptos" w:hAnsi="Aptos" w:cs="Arial"/>
        </w:rPr>
        <w:t>harassment</w:t>
      </w:r>
      <w:r w:rsidR="00815261" w:rsidRPr="001C1754">
        <w:rPr>
          <w:rFonts w:ascii="Aptos" w:hAnsi="Aptos" w:cs="Arial"/>
        </w:rPr>
        <w:t>,</w:t>
      </w:r>
      <w:r w:rsidR="0051462F" w:rsidRPr="001C1754">
        <w:rPr>
          <w:rFonts w:ascii="Aptos" w:hAnsi="Aptos" w:cs="Arial"/>
        </w:rPr>
        <w:t xml:space="preserve"> bullying and abuse from members of the public</w:t>
      </w:r>
      <w:r w:rsidR="007F66A0" w:rsidRPr="001C1754">
        <w:rPr>
          <w:rFonts w:ascii="Aptos" w:hAnsi="Aptos" w:cs="Arial"/>
        </w:rPr>
        <w:t xml:space="preserve">, </w:t>
      </w:r>
      <w:r w:rsidR="0051462F" w:rsidRPr="001C1754">
        <w:rPr>
          <w:rFonts w:ascii="Aptos" w:hAnsi="Aptos" w:cs="Arial"/>
        </w:rPr>
        <w:t>discrimination</w:t>
      </w:r>
      <w:r w:rsidR="00815261" w:rsidRPr="001C1754">
        <w:rPr>
          <w:rFonts w:ascii="Aptos" w:hAnsi="Aptos" w:cs="Arial"/>
        </w:rPr>
        <w:t xml:space="preserve">, </w:t>
      </w:r>
      <w:r w:rsidRPr="001C1754">
        <w:rPr>
          <w:rFonts w:ascii="Aptos" w:hAnsi="Aptos" w:cs="Arial"/>
        </w:rPr>
        <w:t>access to development opportunities, and representation in senior leadership role</w:t>
      </w:r>
      <w:r w:rsidR="008F6FE9" w:rsidRPr="001C1754">
        <w:rPr>
          <w:rFonts w:ascii="Aptos" w:hAnsi="Aptos" w:cs="Arial"/>
        </w:rPr>
        <w:t xml:space="preserve">s. However, work is ongoing to address these inequalities through our </w:t>
      </w:r>
      <w:r w:rsidR="001B05F9">
        <w:rPr>
          <w:rFonts w:ascii="Aptos" w:hAnsi="Aptos" w:cs="Arial"/>
        </w:rPr>
        <w:t xml:space="preserve">People Plan and </w:t>
      </w:r>
      <w:r w:rsidR="008F6FE9" w:rsidRPr="001C1754">
        <w:rPr>
          <w:rFonts w:ascii="Aptos" w:hAnsi="Aptos" w:cs="Arial"/>
        </w:rPr>
        <w:t>EDI plan.</w:t>
      </w:r>
    </w:p>
    <w:p w14:paraId="28BDD880" w14:textId="77777777" w:rsidR="001C1754" w:rsidRDefault="001C1754" w:rsidP="001C1754">
      <w:pPr>
        <w:pStyle w:val="NormalWeb"/>
        <w:spacing w:before="0" w:beforeAutospacing="0" w:after="0" w:afterAutospacing="0"/>
        <w:rPr>
          <w:rFonts w:ascii="Aptos" w:hAnsi="Aptos" w:cs="Arial"/>
        </w:rPr>
      </w:pPr>
    </w:p>
    <w:p w14:paraId="5101C638" w14:textId="77777777" w:rsidR="001B05F9" w:rsidRDefault="001B05F9" w:rsidP="001C1754">
      <w:pPr>
        <w:pStyle w:val="NormalWeb"/>
        <w:spacing w:before="0" w:beforeAutospacing="0" w:after="0" w:afterAutospacing="0"/>
        <w:rPr>
          <w:rFonts w:ascii="Aptos" w:hAnsi="Aptos" w:cs="Arial"/>
        </w:rPr>
      </w:pPr>
    </w:p>
    <w:p w14:paraId="5C13876F" w14:textId="77777777" w:rsidR="00452529" w:rsidRDefault="00452529" w:rsidP="001C1754">
      <w:pPr>
        <w:pStyle w:val="NormalWeb"/>
        <w:spacing w:before="0" w:beforeAutospacing="0" w:after="0" w:afterAutospacing="0"/>
        <w:rPr>
          <w:rFonts w:ascii="Aptos" w:hAnsi="Aptos" w:cs="Arial"/>
        </w:rPr>
      </w:pPr>
    </w:p>
    <w:p w14:paraId="68D98CEE" w14:textId="77777777" w:rsidR="00C7232A" w:rsidRDefault="00C7232A" w:rsidP="001C1754">
      <w:pPr>
        <w:pStyle w:val="NormalWeb"/>
        <w:spacing w:before="0" w:beforeAutospacing="0" w:after="0" w:afterAutospacing="0"/>
        <w:rPr>
          <w:rFonts w:ascii="Aptos" w:hAnsi="Aptos" w:cs="Arial"/>
        </w:rPr>
      </w:pPr>
    </w:p>
    <w:p w14:paraId="383F5EDC" w14:textId="77777777" w:rsidR="00C7232A" w:rsidRDefault="00C7232A" w:rsidP="001C1754">
      <w:pPr>
        <w:pStyle w:val="NormalWeb"/>
        <w:spacing w:before="0" w:beforeAutospacing="0" w:after="0" w:afterAutospacing="0"/>
        <w:rPr>
          <w:rFonts w:ascii="Aptos" w:hAnsi="Aptos" w:cs="Arial"/>
        </w:rPr>
      </w:pPr>
    </w:p>
    <w:p w14:paraId="72E1499B" w14:textId="77777777" w:rsidR="001B05F9" w:rsidRDefault="001B05F9" w:rsidP="001C1754">
      <w:pPr>
        <w:pStyle w:val="NormalWeb"/>
        <w:spacing w:before="0" w:beforeAutospacing="0" w:after="0" w:afterAutospacing="0"/>
        <w:rPr>
          <w:rFonts w:ascii="Aptos" w:hAnsi="Aptos" w:cs="Arial"/>
        </w:rPr>
      </w:pPr>
    </w:p>
    <w:p w14:paraId="0F3794DA" w14:textId="77777777" w:rsidR="001009AE" w:rsidRPr="001C1754" w:rsidRDefault="001009AE" w:rsidP="001C1754">
      <w:pPr>
        <w:pStyle w:val="NormalWeb"/>
        <w:spacing w:before="0" w:beforeAutospacing="0" w:after="0" w:afterAutospacing="0"/>
        <w:rPr>
          <w:rFonts w:ascii="Aptos" w:hAnsi="Aptos" w:cs="Arial"/>
        </w:rPr>
      </w:pPr>
    </w:p>
    <w:p w14:paraId="0AAE4BC7" w14:textId="3206B83E" w:rsidR="00C7232A" w:rsidRPr="001009AE" w:rsidRDefault="00FF64D5" w:rsidP="00C7232A">
      <w:pPr>
        <w:pStyle w:val="Heading4"/>
        <w:spacing w:before="0" w:after="0" w:line="240" w:lineRule="auto"/>
        <w:jc w:val="both"/>
      </w:pPr>
      <w:r w:rsidRPr="001C1754">
        <w:rPr>
          <w:rFonts w:ascii="Aptos" w:eastAsia="Segoe UI" w:hAnsi="Aptos" w:cs="Arial"/>
          <w:b/>
          <w:bCs/>
          <w:i w:val="0"/>
          <w:iCs w:val="0"/>
          <w:color w:val="424242"/>
        </w:rPr>
        <w:t>Key Highlights:</w:t>
      </w:r>
    </w:p>
    <w:p w14:paraId="39961C60" w14:textId="77777777" w:rsidR="00FF64D5" w:rsidRDefault="00FF64D5" w:rsidP="001C1754">
      <w:pPr>
        <w:spacing w:after="0" w:line="240" w:lineRule="auto"/>
        <w:jc w:val="both"/>
        <w:rPr>
          <w:rFonts w:ascii="Aptos" w:hAnsi="Aptos" w:cs="Arial"/>
          <w:b/>
          <w:bCs/>
          <w:u w:val="single"/>
        </w:rPr>
      </w:pPr>
      <w:r w:rsidRPr="001C1754">
        <w:rPr>
          <w:rFonts w:ascii="Aptos" w:hAnsi="Aptos" w:cs="Arial"/>
          <w:b/>
          <w:bCs/>
          <w:u w:val="single"/>
        </w:rPr>
        <w:t>Improved measures in 2025</w:t>
      </w:r>
    </w:p>
    <w:p w14:paraId="5D4273CC" w14:textId="77777777" w:rsidR="00C7232A" w:rsidRPr="001C1754" w:rsidRDefault="00C7232A" w:rsidP="001C1754">
      <w:pPr>
        <w:spacing w:after="0" w:line="240" w:lineRule="auto"/>
        <w:jc w:val="both"/>
        <w:rPr>
          <w:rFonts w:ascii="Aptos" w:hAnsi="Aptos" w:cs="Arial"/>
          <w:b/>
          <w:bCs/>
          <w:u w:val="single"/>
        </w:rPr>
      </w:pPr>
    </w:p>
    <w:p w14:paraId="0881DB97" w14:textId="77777777" w:rsidR="009642DE" w:rsidRPr="001C1754" w:rsidRDefault="009642DE" w:rsidP="001C1754">
      <w:pPr>
        <w:pStyle w:val="NormalWeb"/>
        <w:spacing w:before="0" w:beforeAutospacing="0" w:after="0" w:afterAutospacing="0"/>
        <w:jc w:val="both"/>
        <w:rPr>
          <w:rFonts w:ascii="Aptos" w:hAnsi="Aptos" w:cs="Arial"/>
        </w:rPr>
      </w:pPr>
      <w:r w:rsidRPr="001C1754">
        <w:rPr>
          <w:rStyle w:val="Strong"/>
          <w:rFonts w:ascii="Aptos" w:eastAsiaTheme="majorEastAsia" w:hAnsi="Aptos" w:cs="Arial"/>
        </w:rPr>
        <w:t>Key Highlights – 2025</w:t>
      </w:r>
    </w:p>
    <w:p w14:paraId="4308BF8D" w14:textId="5AB9C421" w:rsidR="00D66C03" w:rsidRPr="001C1754" w:rsidRDefault="009642DE" w:rsidP="00BF35E9">
      <w:pPr>
        <w:pStyle w:val="NormalWeb"/>
        <w:numPr>
          <w:ilvl w:val="0"/>
          <w:numId w:val="3"/>
        </w:numPr>
        <w:spacing w:before="0" w:beforeAutospacing="0" w:after="0" w:afterAutospacing="0"/>
        <w:rPr>
          <w:rFonts w:ascii="Aptos" w:hAnsi="Aptos" w:cs="Arial"/>
        </w:rPr>
      </w:pPr>
      <w:r w:rsidRPr="001C1754">
        <w:rPr>
          <w:rStyle w:val="Strong"/>
          <w:rFonts w:ascii="Aptos" w:eastAsiaTheme="majorEastAsia" w:hAnsi="Aptos" w:cs="Arial"/>
        </w:rPr>
        <w:t>Workforce Representation:</w:t>
      </w:r>
      <w:r w:rsidRPr="001C1754">
        <w:rPr>
          <w:rFonts w:ascii="Aptos" w:hAnsi="Aptos" w:cs="Arial"/>
        </w:rPr>
        <w:t xml:space="preserve"> Staff from Black and Minority Ethnic (BME) backgrounds make up 4</w:t>
      </w:r>
      <w:r w:rsidR="00FE453B" w:rsidRPr="001C1754">
        <w:rPr>
          <w:rFonts w:ascii="Aptos" w:hAnsi="Aptos" w:cs="Arial"/>
        </w:rPr>
        <w:t>5</w:t>
      </w:r>
      <w:r w:rsidRPr="001C1754">
        <w:rPr>
          <w:rFonts w:ascii="Aptos" w:hAnsi="Aptos" w:cs="Arial"/>
        </w:rPr>
        <w:t xml:space="preserve">% of the workforce—above local community </w:t>
      </w:r>
      <w:r w:rsidR="003D72E3" w:rsidRPr="001C1754">
        <w:rPr>
          <w:rFonts w:ascii="Aptos" w:hAnsi="Aptos" w:cs="Arial"/>
        </w:rPr>
        <w:t>representation</w:t>
      </w:r>
      <w:r w:rsidRPr="001C1754">
        <w:rPr>
          <w:rFonts w:ascii="Aptos" w:hAnsi="Aptos" w:cs="Arial"/>
        </w:rPr>
        <w:t xml:space="preserve">. </w:t>
      </w:r>
    </w:p>
    <w:p w14:paraId="2921AD7F" w14:textId="5F9DC7D9" w:rsidR="009642DE" w:rsidRPr="001C1754" w:rsidRDefault="009642DE" w:rsidP="00BF35E9">
      <w:pPr>
        <w:pStyle w:val="NormalWeb"/>
        <w:numPr>
          <w:ilvl w:val="0"/>
          <w:numId w:val="3"/>
        </w:numPr>
        <w:spacing w:before="0" w:beforeAutospacing="0" w:after="0" w:afterAutospacing="0"/>
        <w:rPr>
          <w:rFonts w:ascii="Aptos" w:hAnsi="Aptos" w:cs="Arial"/>
        </w:rPr>
      </w:pPr>
      <w:r w:rsidRPr="001C1754">
        <w:rPr>
          <w:rStyle w:val="Strong"/>
          <w:rFonts w:ascii="Aptos" w:eastAsiaTheme="majorEastAsia" w:hAnsi="Aptos" w:cs="Arial"/>
        </w:rPr>
        <w:t>Disciplinary Action:</w:t>
      </w:r>
      <w:r w:rsidRPr="001C1754">
        <w:rPr>
          <w:rFonts w:ascii="Aptos" w:hAnsi="Aptos" w:cs="Arial"/>
        </w:rPr>
        <w:t xml:space="preserve"> BME staff are 1.09 times more likely to face formal disciplinary processes than white staff, an improvement from 1.2 </w:t>
      </w:r>
      <w:r w:rsidR="00BF1CA1" w:rsidRPr="001C1754">
        <w:rPr>
          <w:rFonts w:ascii="Aptos" w:hAnsi="Aptos" w:cs="Arial"/>
        </w:rPr>
        <w:t xml:space="preserve">times </w:t>
      </w:r>
      <w:r w:rsidRPr="001C1754">
        <w:rPr>
          <w:rFonts w:ascii="Aptos" w:hAnsi="Aptos" w:cs="Arial"/>
        </w:rPr>
        <w:t>the previous year.</w:t>
      </w:r>
    </w:p>
    <w:p w14:paraId="0C09BB47" w14:textId="55B1D9E7" w:rsidR="009642DE" w:rsidRPr="001C1754" w:rsidRDefault="009642DE" w:rsidP="00BF35E9">
      <w:pPr>
        <w:pStyle w:val="NormalWeb"/>
        <w:numPr>
          <w:ilvl w:val="0"/>
          <w:numId w:val="3"/>
        </w:numPr>
        <w:spacing w:before="0" w:beforeAutospacing="0" w:after="0" w:afterAutospacing="0"/>
        <w:rPr>
          <w:rFonts w:ascii="Aptos" w:hAnsi="Aptos" w:cs="Arial"/>
        </w:rPr>
      </w:pPr>
      <w:r w:rsidRPr="001C1754">
        <w:rPr>
          <w:rStyle w:val="Strong"/>
          <w:rFonts w:ascii="Aptos" w:eastAsiaTheme="majorEastAsia" w:hAnsi="Aptos" w:cs="Arial"/>
        </w:rPr>
        <w:t>Career Progression:</w:t>
      </w:r>
      <w:r w:rsidRPr="001C1754">
        <w:rPr>
          <w:rFonts w:ascii="Aptos" w:hAnsi="Aptos" w:cs="Arial"/>
        </w:rPr>
        <w:t xml:space="preserve"> Staff reporting equal access to promotion </w:t>
      </w:r>
      <w:r w:rsidR="00812A9D" w:rsidRPr="001C1754">
        <w:rPr>
          <w:rFonts w:ascii="Aptos" w:hAnsi="Aptos" w:cs="Arial"/>
        </w:rPr>
        <w:t>increased</w:t>
      </w:r>
      <w:r w:rsidRPr="001C1754">
        <w:rPr>
          <w:rFonts w:ascii="Aptos" w:hAnsi="Aptos" w:cs="Arial"/>
        </w:rPr>
        <w:t xml:space="preserve"> from 44.5% to 46.4%.</w:t>
      </w:r>
    </w:p>
    <w:p w14:paraId="6C6259F9" w14:textId="77777777" w:rsidR="009642DE" w:rsidRDefault="009642DE" w:rsidP="00BF35E9">
      <w:pPr>
        <w:pStyle w:val="NormalWeb"/>
        <w:numPr>
          <w:ilvl w:val="0"/>
          <w:numId w:val="3"/>
        </w:numPr>
        <w:spacing w:before="0" w:beforeAutospacing="0" w:after="0" w:afterAutospacing="0"/>
        <w:rPr>
          <w:rFonts w:ascii="Aptos" w:hAnsi="Aptos" w:cs="Arial"/>
        </w:rPr>
      </w:pPr>
      <w:r w:rsidRPr="001C1754">
        <w:rPr>
          <w:rStyle w:val="Strong"/>
          <w:rFonts w:ascii="Aptos" w:eastAsiaTheme="majorEastAsia" w:hAnsi="Aptos" w:cs="Arial"/>
        </w:rPr>
        <w:t>Ethnicity Declaration:</w:t>
      </w:r>
      <w:r w:rsidRPr="001C1754">
        <w:rPr>
          <w:rFonts w:ascii="Aptos" w:hAnsi="Aptos" w:cs="Arial"/>
        </w:rPr>
        <w:t xml:space="preserve"> Slight increase in staff disclosing ethnicity, improving data accuracy.</w:t>
      </w:r>
    </w:p>
    <w:p w14:paraId="0C436A57" w14:textId="77777777" w:rsidR="00C7232A" w:rsidRPr="001C1754" w:rsidRDefault="00C7232A" w:rsidP="00BF35E9">
      <w:pPr>
        <w:pStyle w:val="NormalWeb"/>
        <w:spacing w:before="0" w:beforeAutospacing="0" w:after="0" w:afterAutospacing="0"/>
        <w:ind w:left="720"/>
        <w:rPr>
          <w:rFonts w:ascii="Aptos" w:hAnsi="Aptos" w:cs="Arial"/>
        </w:rPr>
      </w:pPr>
    </w:p>
    <w:p w14:paraId="142294BB" w14:textId="77777777" w:rsidR="009642DE" w:rsidRPr="001C1754" w:rsidRDefault="009642DE" w:rsidP="00BF35E9">
      <w:pPr>
        <w:pStyle w:val="NormalWeb"/>
        <w:spacing w:before="0" w:beforeAutospacing="0" w:after="0" w:afterAutospacing="0"/>
        <w:rPr>
          <w:rFonts w:ascii="Aptos" w:hAnsi="Aptos" w:cs="Arial"/>
        </w:rPr>
      </w:pPr>
      <w:r w:rsidRPr="001C1754">
        <w:rPr>
          <w:rStyle w:val="Strong"/>
          <w:rFonts w:ascii="Aptos" w:eastAsiaTheme="majorEastAsia" w:hAnsi="Aptos" w:cs="Arial"/>
        </w:rPr>
        <w:t>Declined Measures – 2025</w:t>
      </w:r>
    </w:p>
    <w:p w14:paraId="0DB0735F" w14:textId="4917C532" w:rsidR="009642DE" w:rsidRPr="001C1754" w:rsidRDefault="009642DE" w:rsidP="00BF35E9">
      <w:pPr>
        <w:pStyle w:val="NormalWeb"/>
        <w:numPr>
          <w:ilvl w:val="0"/>
          <w:numId w:val="4"/>
        </w:numPr>
        <w:spacing w:before="0" w:beforeAutospacing="0" w:after="0" w:afterAutospacing="0"/>
        <w:rPr>
          <w:rFonts w:ascii="Aptos" w:hAnsi="Aptos" w:cs="Arial"/>
        </w:rPr>
      </w:pPr>
      <w:r w:rsidRPr="001C1754">
        <w:rPr>
          <w:rStyle w:val="Strong"/>
          <w:rFonts w:ascii="Aptos" w:eastAsiaTheme="majorEastAsia" w:hAnsi="Aptos" w:cs="Arial"/>
          <w:sz w:val="22"/>
          <w:szCs w:val="22"/>
        </w:rPr>
        <w:t>Recruitment</w:t>
      </w:r>
      <w:r w:rsidRPr="001C1754">
        <w:rPr>
          <w:rStyle w:val="Strong"/>
          <w:rFonts w:ascii="Aptos" w:eastAsiaTheme="majorEastAsia" w:hAnsi="Aptos" w:cs="Arial"/>
        </w:rPr>
        <w:t>:</w:t>
      </w:r>
      <w:r w:rsidRPr="001C1754">
        <w:rPr>
          <w:rFonts w:ascii="Aptos" w:hAnsi="Aptos" w:cs="Arial"/>
        </w:rPr>
        <w:t xml:space="preserve"> White applicants are 1.54 times more likely to be appointed from shortlisting (up from 1.2), attributed to </w:t>
      </w:r>
      <w:r w:rsidR="00BF1CA1" w:rsidRPr="001C1754">
        <w:rPr>
          <w:rFonts w:ascii="Aptos" w:hAnsi="Aptos" w:cs="Arial"/>
        </w:rPr>
        <w:t xml:space="preserve">a change in the way the recruitment data has been reported previously. The </w:t>
      </w:r>
      <w:r w:rsidRPr="001C1754">
        <w:rPr>
          <w:rFonts w:ascii="Aptos" w:hAnsi="Aptos" w:cs="Arial"/>
        </w:rPr>
        <w:t xml:space="preserve">data source </w:t>
      </w:r>
      <w:r w:rsidR="00BF1CA1" w:rsidRPr="001C1754">
        <w:rPr>
          <w:rFonts w:ascii="Aptos" w:hAnsi="Aptos" w:cs="Arial"/>
        </w:rPr>
        <w:t xml:space="preserve">that will be used for future reporting purposes is </w:t>
      </w:r>
      <w:r w:rsidRPr="001C1754">
        <w:rPr>
          <w:rFonts w:ascii="Aptos" w:hAnsi="Aptos" w:cs="Arial"/>
        </w:rPr>
        <w:t xml:space="preserve">TRAC </w:t>
      </w:r>
      <w:r w:rsidR="00BF1CA1" w:rsidRPr="001C1754">
        <w:rPr>
          <w:rFonts w:ascii="Aptos" w:hAnsi="Aptos" w:cs="Arial"/>
        </w:rPr>
        <w:t xml:space="preserve">rather than </w:t>
      </w:r>
      <w:r w:rsidRPr="001C1754">
        <w:rPr>
          <w:rFonts w:ascii="Aptos" w:hAnsi="Aptos" w:cs="Arial"/>
        </w:rPr>
        <w:t>ESR.</w:t>
      </w:r>
    </w:p>
    <w:p w14:paraId="4546C825" w14:textId="77777777" w:rsidR="009642DE" w:rsidRPr="001C1754" w:rsidRDefault="009642DE" w:rsidP="00BF35E9">
      <w:pPr>
        <w:pStyle w:val="NormalWeb"/>
        <w:numPr>
          <w:ilvl w:val="0"/>
          <w:numId w:val="4"/>
        </w:numPr>
        <w:spacing w:before="0" w:beforeAutospacing="0" w:after="0" w:afterAutospacing="0"/>
        <w:rPr>
          <w:rFonts w:ascii="Aptos" w:hAnsi="Aptos" w:cs="Arial"/>
        </w:rPr>
      </w:pPr>
      <w:r w:rsidRPr="001C1754">
        <w:rPr>
          <w:rStyle w:val="Strong"/>
          <w:rFonts w:ascii="Aptos" w:eastAsiaTheme="majorEastAsia" w:hAnsi="Aptos" w:cs="Arial"/>
          <w:sz w:val="22"/>
          <w:szCs w:val="22"/>
        </w:rPr>
        <w:t>Development Access</w:t>
      </w:r>
      <w:r w:rsidRPr="001C1754">
        <w:rPr>
          <w:rStyle w:val="Strong"/>
          <w:rFonts w:ascii="Aptos" w:eastAsiaTheme="majorEastAsia" w:hAnsi="Aptos" w:cs="Arial"/>
        </w:rPr>
        <w:t>:</w:t>
      </w:r>
      <w:r w:rsidRPr="001C1754">
        <w:rPr>
          <w:rFonts w:ascii="Aptos" w:hAnsi="Aptos" w:cs="Arial"/>
        </w:rPr>
        <w:t xml:space="preserve"> White staff are 1.09 times more likely to access non-mandatory training/CPD (previously 0.89).</w:t>
      </w:r>
    </w:p>
    <w:p w14:paraId="47791BF7" w14:textId="2C63A070" w:rsidR="009642DE" w:rsidRPr="001C1754" w:rsidRDefault="009642DE" w:rsidP="00BF35E9">
      <w:pPr>
        <w:pStyle w:val="NormalWeb"/>
        <w:numPr>
          <w:ilvl w:val="0"/>
          <w:numId w:val="4"/>
        </w:numPr>
        <w:spacing w:before="0" w:beforeAutospacing="0" w:after="0" w:afterAutospacing="0"/>
        <w:rPr>
          <w:rFonts w:ascii="Aptos" w:hAnsi="Aptos" w:cs="Arial"/>
        </w:rPr>
      </w:pPr>
      <w:r w:rsidRPr="001C1754">
        <w:rPr>
          <w:rStyle w:val="Strong"/>
          <w:rFonts w:ascii="Aptos" w:eastAsiaTheme="majorEastAsia" w:hAnsi="Aptos" w:cs="Arial"/>
          <w:sz w:val="22"/>
          <w:szCs w:val="22"/>
        </w:rPr>
        <w:t>Harassment from the Public</w:t>
      </w:r>
      <w:r w:rsidRPr="001C1754">
        <w:rPr>
          <w:rStyle w:val="Strong"/>
          <w:rFonts w:ascii="Aptos" w:eastAsiaTheme="majorEastAsia" w:hAnsi="Aptos" w:cs="Arial"/>
        </w:rPr>
        <w:t>:</w:t>
      </w:r>
      <w:r w:rsidRPr="001C1754">
        <w:rPr>
          <w:rFonts w:ascii="Aptos" w:hAnsi="Aptos" w:cs="Arial"/>
        </w:rPr>
        <w:t xml:space="preserve"> Reports increased slightly from 25% to 26%.</w:t>
      </w:r>
    </w:p>
    <w:p w14:paraId="0C32BB7C" w14:textId="77777777" w:rsidR="009642DE" w:rsidRPr="001C1754" w:rsidRDefault="009642DE" w:rsidP="00BF35E9">
      <w:pPr>
        <w:pStyle w:val="NormalWeb"/>
        <w:numPr>
          <w:ilvl w:val="0"/>
          <w:numId w:val="4"/>
        </w:numPr>
        <w:spacing w:before="0" w:beforeAutospacing="0" w:after="0" w:afterAutospacing="0"/>
        <w:rPr>
          <w:rFonts w:ascii="Aptos" w:hAnsi="Aptos" w:cs="Arial"/>
        </w:rPr>
      </w:pPr>
      <w:r w:rsidRPr="001C1754">
        <w:rPr>
          <w:rStyle w:val="Strong"/>
          <w:rFonts w:ascii="Aptos" w:eastAsiaTheme="majorEastAsia" w:hAnsi="Aptos" w:cs="Arial"/>
          <w:sz w:val="22"/>
          <w:szCs w:val="22"/>
        </w:rPr>
        <w:t>Harassment from Staff</w:t>
      </w:r>
      <w:r w:rsidRPr="001C1754">
        <w:rPr>
          <w:rStyle w:val="Strong"/>
          <w:rFonts w:ascii="Aptos" w:eastAsiaTheme="majorEastAsia" w:hAnsi="Aptos" w:cs="Arial"/>
        </w:rPr>
        <w:t>:</w:t>
      </w:r>
      <w:r w:rsidRPr="001C1754">
        <w:rPr>
          <w:rFonts w:ascii="Aptos" w:hAnsi="Aptos" w:cs="Arial"/>
        </w:rPr>
        <w:t xml:space="preserve"> No change in reported rates.</w:t>
      </w:r>
    </w:p>
    <w:p w14:paraId="114F34FA" w14:textId="77777777" w:rsidR="009642DE" w:rsidRPr="001C1754" w:rsidRDefault="009642DE" w:rsidP="00BF35E9">
      <w:pPr>
        <w:pStyle w:val="NormalWeb"/>
        <w:numPr>
          <w:ilvl w:val="0"/>
          <w:numId w:val="4"/>
        </w:numPr>
        <w:spacing w:before="0" w:beforeAutospacing="0" w:after="0" w:afterAutospacing="0"/>
        <w:rPr>
          <w:rFonts w:ascii="Aptos" w:hAnsi="Aptos" w:cs="Arial"/>
        </w:rPr>
      </w:pPr>
      <w:r w:rsidRPr="001C1754">
        <w:rPr>
          <w:rStyle w:val="Strong"/>
          <w:rFonts w:ascii="Aptos" w:eastAsiaTheme="majorEastAsia" w:hAnsi="Aptos" w:cs="Arial"/>
          <w:sz w:val="22"/>
          <w:szCs w:val="22"/>
        </w:rPr>
        <w:t>Discrimination:</w:t>
      </w:r>
      <w:r w:rsidRPr="001C1754">
        <w:rPr>
          <w:rFonts w:ascii="Aptos" w:hAnsi="Aptos" w:cs="Arial"/>
        </w:rPr>
        <w:t xml:space="preserve"> Rates remain unchanged but disproportionately affect BME staff (15% vs 6.3%).</w:t>
      </w:r>
    </w:p>
    <w:p w14:paraId="70563DFE" w14:textId="5588ECD3" w:rsidR="00812A9D" w:rsidRPr="008F67AA" w:rsidRDefault="009642DE" w:rsidP="00BF35E9">
      <w:pPr>
        <w:pStyle w:val="NormalWeb"/>
        <w:numPr>
          <w:ilvl w:val="0"/>
          <w:numId w:val="4"/>
        </w:numPr>
        <w:spacing w:before="0" w:beforeAutospacing="0" w:after="0" w:afterAutospacing="0"/>
        <w:rPr>
          <w:rFonts w:ascii="Aptos" w:hAnsi="Aptos" w:cs="Arial"/>
          <w:b/>
          <w:bCs/>
          <w:u w:val="single"/>
        </w:rPr>
      </w:pPr>
      <w:r w:rsidRPr="001C1754">
        <w:rPr>
          <w:rStyle w:val="Strong"/>
          <w:rFonts w:ascii="Aptos" w:eastAsiaTheme="majorEastAsia" w:hAnsi="Aptos" w:cs="Arial"/>
          <w:sz w:val="22"/>
          <w:szCs w:val="22"/>
        </w:rPr>
        <w:t>Board Representation</w:t>
      </w:r>
      <w:r w:rsidRPr="001C1754">
        <w:rPr>
          <w:rStyle w:val="Strong"/>
          <w:rFonts w:ascii="Aptos" w:eastAsiaTheme="majorEastAsia" w:hAnsi="Aptos" w:cs="Arial"/>
        </w:rPr>
        <w:t>:</w:t>
      </w:r>
      <w:r w:rsidRPr="001C1754">
        <w:rPr>
          <w:rFonts w:ascii="Aptos" w:hAnsi="Aptos" w:cs="Arial"/>
        </w:rPr>
        <w:t xml:space="preserve"> </w:t>
      </w:r>
      <w:r w:rsidR="00812A9D" w:rsidRPr="001C1754">
        <w:rPr>
          <w:rFonts w:ascii="Aptos" w:hAnsi="Aptos" w:cs="Arial"/>
        </w:rPr>
        <w:t>Remain unchanged a</w:t>
      </w:r>
      <w:r w:rsidRPr="001C1754">
        <w:rPr>
          <w:rFonts w:ascii="Aptos" w:hAnsi="Aptos" w:cs="Arial"/>
        </w:rPr>
        <w:t>t 25%</w:t>
      </w:r>
    </w:p>
    <w:p w14:paraId="1CF1E67B" w14:textId="77777777" w:rsidR="00C7232A" w:rsidRPr="001C1754" w:rsidRDefault="00C7232A" w:rsidP="008F67AA">
      <w:pPr>
        <w:pStyle w:val="NormalWeb"/>
        <w:spacing w:before="0" w:beforeAutospacing="0" w:after="0" w:afterAutospacing="0"/>
        <w:jc w:val="both"/>
        <w:rPr>
          <w:rFonts w:ascii="Aptos" w:hAnsi="Aptos" w:cs="Arial"/>
          <w:b/>
          <w:bCs/>
          <w:u w:val="single"/>
        </w:rPr>
      </w:pPr>
    </w:p>
    <w:p w14:paraId="1F636465" w14:textId="7BDF6DDA" w:rsidR="00BF1CA1" w:rsidRDefault="00BF1CA1" w:rsidP="00BF35E9">
      <w:pPr>
        <w:pStyle w:val="NormalWeb"/>
        <w:spacing w:before="0" w:beforeAutospacing="0" w:after="0" w:afterAutospacing="0"/>
        <w:rPr>
          <w:rFonts w:ascii="Aptos" w:hAnsi="Aptos" w:cs="Arial"/>
        </w:rPr>
      </w:pPr>
      <w:r w:rsidRPr="001C1754">
        <w:rPr>
          <w:rFonts w:ascii="Aptos" w:hAnsi="Aptos" w:cs="Arial"/>
        </w:rPr>
        <w:t xml:space="preserve">These findings emphasise the importance of continued action and efforts to deliver on our EDI commitments and our Trust EDI plan. Our </w:t>
      </w:r>
      <w:r w:rsidR="00F341F3">
        <w:rPr>
          <w:rFonts w:ascii="Aptos" w:hAnsi="Aptos" w:cs="Arial"/>
        </w:rPr>
        <w:t xml:space="preserve">With you all the way culture programme along with our </w:t>
      </w:r>
      <w:r w:rsidRPr="001C1754">
        <w:rPr>
          <w:rFonts w:ascii="Aptos" w:hAnsi="Aptos" w:cs="Arial"/>
        </w:rPr>
        <w:t>refreshed EDI plan, is centred on inclusive leadership actions, delivering fair access to opportunities, and maintaining a zero-tolerance approach to discrimination and harassment. We are dedicated to fostering a workplace that is supportive, equitable, and inclusive for everyone</w:t>
      </w:r>
      <w:r w:rsidR="00812A9D" w:rsidRPr="001C1754">
        <w:rPr>
          <w:rFonts w:ascii="Aptos" w:hAnsi="Aptos" w:cs="Arial"/>
        </w:rPr>
        <w:t xml:space="preserve"> </w:t>
      </w:r>
      <w:r w:rsidRPr="001C1754">
        <w:rPr>
          <w:rFonts w:ascii="Aptos" w:hAnsi="Aptos" w:cs="Arial"/>
        </w:rPr>
        <w:t>who works at the Trust.</w:t>
      </w:r>
      <w:bookmarkStart w:id="3" w:name="_Toc196746726"/>
    </w:p>
    <w:p w14:paraId="3BD1DFB9" w14:textId="77777777" w:rsidR="00C7232A" w:rsidRPr="001C1754" w:rsidRDefault="00C7232A" w:rsidP="001C1754">
      <w:pPr>
        <w:pStyle w:val="NormalWeb"/>
        <w:spacing w:before="0" w:beforeAutospacing="0" w:after="0" w:afterAutospacing="0"/>
        <w:jc w:val="both"/>
        <w:rPr>
          <w:rFonts w:ascii="Aptos" w:hAnsi="Aptos" w:cs="Arial"/>
          <w:b/>
          <w:bCs/>
          <w:highlight w:val="yellow"/>
          <w:u w:val="single"/>
        </w:rPr>
      </w:pPr>
    </w:p>
    <w:p w14:paraId="3CF32A31" w14:textId="7A174635" w:rsidR="00BF1CA1" w:rsidRPr="001C1754" w:rsidRDefault="00BF1CA1" w:rsidP="00BF35E9">
      <w:pPr>
        <w:spacing w:line="240" w:lineRule="auto"/>
      </w:pPr>
      <w:r w:rsidRPr="001C1754">
        <w:t xml:space="preserve">Shortly before the publication of the NHS Staff Survey 2023, a potential issue was identified affecting the data for several questions. To address this, statistical methods were applied to adjust the affected results, and the data for question 14 have been revised from what was previously published. As a result, the 2023 data comparisons differ from those in the earlier report. </w:t>
      </w:r>
      <w:r w:rsidR="00F227DB" w:rsidRPr="001C1754">
        <w:t>for</w:t>
      </w:r>
      <w:r w:rsidRPr="001C1754">
        <w:t xml:space="preserve"> further details, please refer to the Survey Coordination Centre's guidance: </w:t>
      </w:r>
      <w:hyperlink r:id="rId10" w:history="1">
        <w:r w:rsidR="00F227DB" w:rsidRPr="001C1754">
          <w:rPr>
            <w:color w:val="0000FF"/>
            <w:u w:val="single"/>
          </w:rPr>
          <w:t>Survey documents related to conducting the survey | NHS Staff Survey</w:t>
        </w:r>
      </w:hyperlink>
    </w:p>
    <w:p w14:paraId="212EC336" w14:textId="77777777" w:rsidR="00C7232A" w:rsidRDefault="00C7232A" w:rsidP="00BF35E9"/>
    <w:p w14:paraId="39EE2CA3" w14:textId="77777777" w:rsidR="008F67AA" w:rsidRPr="001009AE" w:rsidRDefault="008F67AA" w:rsidP="001009AE"/>
    <w:p w14:paraId="7EE5D044" w14:textId="60225BF6" w:rsidR="00FF64D5" w:rsidRDefault="00FF64D5" w:rsidP="001C1754">
      <w:pPr>
        <w:pStyle w:val="Heading1"/>
        <w:spacing w:before="0" w:after="0" w:line="240" w:lineRule="auto"/>
        <w:jc w:val="both"/>
        <w:rPr>
          <w:rFonts w:ascii="Aptos" w:hAnsi="Aptos" w:cs="Arial"/>
        </w:rPr>
      </w:pPr>
      <w:r w:rsidRPr="001C1754">
        <w:rPr>
          <w:rFonts w:ascii="Aptos" w:hAnsi="Aptos" w:cs="Arial"/>
        </w:rPr>
        <w:lastRenderedPageBreak/>
        <w:t>Annual Submission Measures</w:t>
      </w:r>
      <w:bookmarkEnd w:id="3"/>
    </w:p>
    <w:p w14:paraId="5173B30B" w14:textId="2925E382" w:rsidR="00FF64D5" w:rsidRDefault="00FF64D5" w:rsidP="00BF35E9">
      <w:pPr>
        <w:spacing w:after="0" w:line="240" w:lineRule="auto"/>
        <w:rPr>
          <w:rFonts w:ascii="Aptos" w:hAnsi="Aptos" w:cs="Arial"/>
        </w:rPr>
      </w:pPr>
      <w:r w:rsidRPr="001C1754">
        <w:rPr>
          <w:rFonts w:ascii="Aptos" w:hAnsi="Aptos" w:cs="Arial"/>
        </w:rPr>
        <w:t xml:space="preserve">The Workforce Race Equality Standard is a set of nine specific measures which enable NHS organisations to compare the workplace and career experiences </w:t>
      </w:r>
      <w:r w:rsidR="00812A9D" w:rsidRPr="001C1754">
        <w:rPr>
          <w:rFonts w:ascii="Aptos" w:hAnsi="Aptos" w:cs="Arial"/>
        </w:rPr>
        <w:t xml:space="preserve">of staff from </w:t>
      </w:r>
      <w:r w:rsidRPr="001C1754">
        <w:rPr>
          <w:rFonts w:ascii="Aptos" w:hAnsi="Aptos" w:cs="Arial"/>
        </w:rPr>
        <w:t>Black and Minority Eth</w:t>
      </w:r>
      <w:r w:rsidR="00812A9D" w:rsidRPr="001C1754">
        <w:rPr>
          <w:rFonts w:ascii="Aptos" w:hAnsi="Aptos" w:cs="Arial"/>
        </w:rPr>
        <w:t>n</w:t>
      </w:r>
      <w:r w:rsidRPr="001C1754">
        <w:rPr>
          <w:rFonts w:ascii="Aptos" w:hAnsi="Aptos" w:cs="Arial"/>
        </w:rPr>
        <w:t xml:space="preserve">ic </w:t>
      </w:r>
      <w:r w:rsidR="00812A9D" w:rsidRPr="001C1754">
        <w:rPr>
          <w:rFonts w:ascii="Aptos" w:hAnsi="Aptos" w:cs="Arial"/>
        </w:rPr>
        <w:t>backgrounds (BME)</w:t>
      </w:r>
      <w:r w:rsidRPr="001C1754">
        <w:rPr>
          <w:rFonts w:ascii="Aptos" w:hAnsi="Aptos" w:cs="Arial"/>
        </w:rPr>
        <w:t xml:space="preserve"> and White staff. </w:t>
      </w:r>
    </w:p>
    <w:p w14:paraId="1D34B94C" w14:textId="77777777" w:rsidR="00C7232A" w:rsidRPr="001C1754" w:rsidRDefault="00C7232A" w:rsidP="00BF35E9">
      <w:pPr>
        <w:spacing w:after="0" w:line="240" w:lineRule="auto"/>
        <w:rPr>
          <w:rFonts w:ascii="Aptos" w:hAnsi="Aptos" w:cs="Arial"/>
        </w:rPr>
      </w:pPr>
    </w:p>
    <w:p w14:paraId="5EA88E07" w14:textId="24EF32D0" w:rsidR="00FF64D5" w:rsidRDefault="00812A9D" w:rsidP="00BF35E9">
      <w:pPr>
        <w:spacing w:after="0" w:line="240" w:lineRule="auto"/>
        <w:rPr>
          <w:rFonts w:ascii="Aptos" w:hAnsi="Aptos" w:cs="Arial"/>
        </w:rPr>
      </w:pPr>
      <w:r w:rsidRPr="001C1754">
        <w:rPr>
          <w:rFonts w:ascii="Aptos" w:hAnsi="Aptos" w:cs="Arial"/>
        </w:rPr>
        <w:t>For this report,</w:t>
      </w:r>
      <w:r w:rsidR="00FF64D5" w:rsidRPr="001C1754">
        <w:rPr>
          <w:rFonts w:ascii="Aptos" w:hAnsi="Aptos" w:cs="Arial"/>
        </w:rPr>
        <w:t xml:space="preserve"> a more detailed analysis to inform our conclusions and action plans</w:t>
      </w:r>
      <w:r w:rsidRPr="001C1754">
        <w:rPr>
          <w:rFonts w:ascii="Aptos" w:hAnsi="Aptos" w:cs="Arial"/>
        </w:rPr>
        <w:t xml:space="preserve"> has been developed. The nine WRES indicators are as follows</w:t>
      </w:r>
      <w:r w:rsidR="00C7232A">
        <w:rPr>
          <w:rFonts w:ascii="Aptos" w:hAnsi="Aptos" w:cs="Arial"/>
        </w:rPr>
        <w:t>:</w:t>
      </w:r>
    </w:p>
    <w:p w14:paraId="6F7370CD" w14:textId="77777777" w:rsidR="00C7232A" w:rsidRPr="001C1754" w:rsidRDefault="00C7232A" w:rsidP="001C1754">
      <w:pPr>
        <w:spacing w:after="0" w:line="240" w:lineRule="auto"/>
        <w:jc w:val="both"/>
        <w:rPr>
          <w:rFonts w:ascii="Aptos" w:hAnsi="Aptos" w:cs="Arial"/>
        </w:rPr>
      </w:pPr>
    </w:p>
    <w:p w14:paraId="35C41E67" w14:textId="3FB459AD" w:rsidR="00FF64D5" w:rsidRPr="00BF35E9" w:rsidRDefault="00FF64D5" w:rsidP="00BF35E9">
      <w:pPr>
        <w:pStyle w:val="ListParagraph"/>
        <w:numPr>
          <w:ilvl w:val="0"/>
          <w:numId w:val="18"/>
        </w:numPr>
        <w:spacing w:after="0" w:line="240" w:lineRule="auto"/>
        <w:jc w:val="both"/>
        <w:rPr>
          <w:rFonts w:ascii="Aptos" w:hAnsi="Aptos" w:cs="Arial"/>
        </w:rPr>
      </w:pPr>
      <w:r w:rsidRPr="00BF35E9">
        <w:rPr>
          <w:rFonts w:ascii="Aptos" w:hAnsi="Aptos" w:cs="Arial"/>
        </w:rPr>
        <w:t>Workforce Representation</w:t>
      </w:r>
    </w:p>
    <w:p w14:paraId="3FCF213F" w14:textId="04E10B48" w:rsidR="00FF64D5" w:rsidRPr="00BF35E9" w:rsidRDefault="00FF64D5" w:rsidP="00BF35E9">
      <w:pPr>
        <w:pStyle w:val="ListParagraph"/>
        <w:numPr>
          <w:ilvl w:val="0"/>
          <w:numId w:val="18"/>
        </w:numPr>
        <w:spacing w:after="0" w:line="240" w:lineRule="auto"/>
        <w:jc w:val="both"/>
        <w:rPr>
          <w:rFonts w:ascii="Aptos" w:hAnsi="Aptos" w:cs="Arial"/>
        </w:rPr>
      </w:pPr>
      <w:r w:rsidRPr="00BF35E9">
        <w:rPr>
          <w:rFonts w:ascii="Aptos" w:hAnsi="Aptos" w:cs="Arial"/>
        </w:rPr>
        <w:t>Recruitment</w:t>
      </w:r>
    </w:p>
    <w:p w14:paraId="083B40D6" w14:textId="487A7CEE" w:rsidR="00FF64D5" w:rsidRPr="00BF35E9" w:rsidRDefault="00FF64D5" w:rsidP="00BF35E9">
      <w:pPr>
        <w:pStyle w:val="ListParagraph"/>
        <w:numPr>
          <w:ilvl w:val="0"/>
          <w:numId w:val="18"/>
        </w:numPr>
        <w:spacing w:after="0" w:line="240" w:lineRule="auto"/>
        <w:jc w:val="both"/>
        <w:rPr>
          <w:rFonts w:ascii="Aptos" w:hAnsi="Aptos" w:cs="Arial"/>
        </w:rPr>
      </w:pPr>
      <w:r w:rsidRPr="00BF35E9">
        <w:rPr>
          <w:rFonts w:ascii="Aptos" w:hAnsi="Aptos" w:cs="Arial"/>
        </w:rPr>
        <w:t>Disciplinary </w:t>
      </w:r>
    </w:p>
    <w:p w14:paraId="64330823" w14:textId="1E17A402" w:rsidR="00FF64D5" w:rsidRPr="00BF35E9" w:rsidRDefault="00FF64D5" w:rsidP="00BF35E9">
      <w:pPr>
        <w:pStyle w:val="ListParagraph"/>
        <w:numPr>
          <w:ilvl w:val="0"/>
          <w:numId w:val="18"/>
        </w:numPr>
        <w:spacing w:after="0" w:line="240" w:lineRule="auto"/>
        <w:jc w:val="both"/>
        <w:rPr>
          <w:rFonts w:ascii="Aptos" w:hAnsi="Aptos" w:cs="Arial"/>
        </w:rPr>
      </w:pPr>
      <w:r w:rsidRPr="00BF35E9">
        <w:rPr>
          <w:rFonts w:ascii="Aptos" w:hAnsi="Aptos" w:cs="Arial"/>
        </w:rPr>
        <w:t>Training and Continuing Professional Development (CPD)</w:t>
      </w:r>
    </w:p>
    <w:p w14:paraId="14CC21FA" w14:textId="0BFBA9A3" w:rsidR="00FF64D5" w:rsidRPr="00BF35E9" w:rsidRDefault="00FF64D5" w:rsidP="00BF35E9">
      <w:pPr>
        <w:pStyle w:val="ListParagraph"/>
        <w:numPr>
          <w:ilvl w:val="0"/>
          <w:numId w:val="18"/>
        </w:numPr>
        <w:spacing w:after="0" w:line="240" w:lineRule="auto"/>
        <w:jc w:val="both"/>
        <w:rPr>
          <w:rFonts w:ascii="Aptos" w:hAnsi="Aptos" w:cs="Arial"/>
        </w:rPr>
      </w:pPr>
      <w:r w:rsidRPr="00BF35E9">
        <w:rPr>
          <w:rFonts w:ascii="Aptos" w:hAnsi="Aptos" w:cs="Arial"/>
        </w:rPr>
        <w:t>Harassment, Bullying and Abuse from Patients / Public</w:t>
      </w:r>
    </w:p>
    <w:p w14:paraId="76401F93" w14:textId="50A77B93" w:rsidR="00FF64D5" w:rsidRPr="00BF35E9" w:rsidRDefault="00FF64D5" w:rsidP="00BF35E9">
      <w:pPr>
        <w:pStyle w:val="ListParagraph"/>
        <w:numPr>
          <w:ilvl w:val="0"/>
          <w:numId w:val="18"/>
        </w:numPr>
        <w:spacing w:after="0" w:line="240" w:lineRule="auto"/>
        <w:jc w:val="both"/>
        <w:rPr>
          <w:rFonts w:ascii="Aptos" w:hAnsi="Aptos" w:cs="Arial"/>
        </w:rPr>
      </w:pPr>
      <w:r w:rsidRPr="00BF35E9">
        <w:rPr>
          <w:rFonts w:ascii="Aptos" w:hAnsi="Aptos" w:cs="Arial"/>
        </w:rPr>
        <w:t>Harassment, Bullying and Abuse from Staff</w:t>
      </w:r>
    </w:p>
    <w:p w14:paraId="15084D9B" w14:textId="443C9A6F" w:rsidR="00FF64D5" w:rsidRPr="00BF35E9" w:rsidRDefault="00FF64D5" w:rsidP="00BF35E9">
      <w:pPr>
        <w:pStyle w:val="ListParagraph"/>
        <w:numPr>
          <w:ilvl w:val="0"/>
          <w:numId w:val="18"/>
        </w:numPr>
        <w:spacing w:after="0" w:line="240" w:lineRule="auto"/>
        <w:jc w:val="both"/>
        <w:rPr>
          <w:rFonts w:ascii="Aptos" w:hAnsi="Aptos" w:cs="Arial"/>
        </w:rPr>
      </w:pPr>
      <w:r w:rsidRPr="00BF35E9">
        <w:rPr>
          <w:rFonts w:ascii="Aptos" w:hAnsi="Aptos" w:cs="Arial"/>
        </w:rPr>
        <w:t>Career Progression</w:t>
      </w:r>
    </w:p>
    <w:p w14:paraId="7A95E8E1" w14:textId="63FD5A9B" w:rsidR="00FF64D5" w:rsidRPr="00BF35E9" w:rsidRDefault="00FF64D5" w:rsidP="00BF35E9">
      <w:pPr>
        <w:pStyle w:val="ListParagraph"/>
        <w:numPr>
          <w:ilvl w:val="0"/>
          <w:numId w:val="18"/>
        </w:numPr>
        <w:spacing w:after="0" w:line="240" w:lineRule="auto"/>
        <w:jc w:val="both"/>
        <w:rPr>
          <w:rFonts w:ascii="Aptos" w:hAnsi="Aptos" w:cs="Arial"/>
        </w:rPr>
      </w:pPr>
      <w:r w:rsidRPr="00BF35E9">
        <w:rPr>
          <w:rFonts w:ascii="Aptos" w:hAnsi="Aptos" w:cs="Arial"/>
        </w:rPr>
        <w:t>Discrimination</w:t>
      </w:r>
    </w:p>
    <w:p w14:paraId="6D93BAC7" w14:textId="0989D4B0" w:rsidR="00FF64D5" w:rsidRPr="00BF35E9" w:rsidRDefault="00FF64D5" w:rsidP="00BF35E9">
      <w:pPr>
        <w:pStyle w:val="ListParagraph"/>
        <w:numPr>
          <w:ilvl w:val="0"/>
          <w:numId w:val="18"/>
        </w:numPr>
        <w:spacing w:after="0" w:line="240" w:lineRule="auto"/>
        <w:jc w:val="both"/>
        <w:rPr>
          <w:rFonts w:ascii="Aptos" w:hAnsi="Aptos" w:cs="Arial"/>
        </w:rPr>
      </w:pPr>
      <w:r w:rsidRPr="00BF35E9">
        <w:rPr>
          <w:rFonts w:ascii="Aptos" w:hAnsi="Aptos" w:cs="Arial"/>
        </w:rPr>
        <w:t>Board Representation</w:t>
      </w:r>
    </w:p>
    <w:p w14:paraId="6FE8DF87" w14:textId="77777777" w:rsidR="003D72E3" w:rsidRPr="001C1754" w:rsidRDefault="003D72E3" w:rsidP="001C1754">
      <w:pPr>
        <w:spacing w:after="0" w:line="240" w:lineRule="auto"/>
        <w:jc w:val="both"/>
        <w:rPr>
          <w:rFonts w:ascii="Aptos" w:hAnsi="Aptos" w:cs="Arial"/>
        </w:rPr>
      </w:pPr>
    </w:p>
    <w:p w14:paraId="57714AF2" w14:textId="77777777" w:rsidR="00FF64D5" w:rsidRPr="001C1754" w:rsidRDefault="00FF64D5" w:rsidP="001C1754">
      <w:pPr>
        <w:pStyle w:val="Heading1"/>
        <w:spacing w:before="0" w:after="0" w:line="240" w:lineRule="auto"/>
        <w:jc w:val="both"/>
        <w:rPr>
          <w:rFonts w:ascii="Aptos" w:hAnsi="Aptos" w:cs="Arial"/>
        </w:rPr>
      </w:pPr>
      <w:bookmarkStart w:id="4" w:name="_Toc196746727"/>
      <w:r w:rsidRPr="001C1754">
        <w:rPr>
          <w:rFonts w:ascii="Aptos" w:hAnsi="Aptos" w:cs="Arial"/>
        </w:rPr>
        <w:t>Workforce Race Equality Standard Overview</w:t>
      </w:r>
      <w:bookmarkEnd w:id="4"/>
    </w:p>
    <w:p w14:paraId="6480DBB3" w14:textId="5DE14B63" w:rsidR="00F227DB" w:rsidRDefault="00812A9D" w:rsidP="00BF35E9">
      <w:pPr>
        <w:spacing w:after="0" w:line="240" w:lineRule="auto"/>
        <w:rPr>
          <w:rFonts w:ascii="Aptos" w:hAnsi="Aptos" w:cs="Arial"/>
        </w:rPr>
      </w:pPr>
      <w:r w:rsidRPr="001C1754">
        <w:rPr>
          <w:rFonts w:ascii="Aptos" w:hAnsi="Aptos" w:cs="Arial"/>
        </w:rPr>
        <w:t>Over the past five years, we have conducted an in-depth analysis of our Workforce Race Equality Standard (WRES) metrics. The chart below</w:t>
      </w:r>
      <w:r w:rsidR="00F227DB" w:rsidRPr="001C1754">
        <w:rPr>
          <w:rFonts w:ascii="Aptos" w:hAnsi="Aptos" w:cs="Arial"/>
        </w:rPr>
        <w:t xml:space="preserve"> Table 1.0</w:t>
      </w:r>
      <w:r w:rsidRPr="001C1754">
        <w:rPr>
          <w:rFonts w:ascii="Aptos" w:hAnsi="Aptos" w:cs="Arial"/>
        </w:rPr>
        <w:t xml:space="preserve"> presents a summary of our performance and highlights trends across all nine metrics from 2020 to 2025</w:t>
      </w:r>
    </w:p>
    <w:p w14:paraId="78076083" w14:textId="77777777" w:rsidR="00452529" w:rsidRPr="001C1754" w:rsidRDefault="00452529" w:rsidP="001C1754">
      <w:pPr>
        <w:spacing w:after="0" w:line="240" w:lineRule="auto"/>
        <w:jc w:val="both"/>
        <w:rPr>
          <w:rFonts w:ascii="Aptos" w:hAnsi="Aptos" w:cs="Arial"/>
        </w:rPr>
      </w:pPr>
    </w:p>
    <w:p w14:paraId="6C188F7F" w14:textId="1023EB4A" w:rsidR="00F227DB" w:rsidRPr="001C1754" w:rsidRDefault="00F227DB" w:rsidP="001C1754">
      <w:pPr>
        <w:spacing w:after="0" w:line="240" w:lineRule="auto"/>
        <w:jc w:val="both"/>
        <w:rPr>
          <w:rFonts w:ascii="Aptos" w:hAnsi="Aptos" w:cs="Arial"/>
        </w:rPr>
      </w:pPr>
      <w:r w:rsidRPr="001C1754">
        <w:rPr>
          <w:rFonts w:ascii="Aptos" w:hAnsi="Aptos" w:cs="Arial"/>
        </w:rPr>
        <w:t>Table 1.0</w:t>
      </w:r>
      <w:r w:rsidR="00812A9D" w:rsidRPr="001C1754">
        <w:rPr>
          <w:rFonts w:ascii="Aptos" w:hAnsi="Aptos" w:cs="Arial"/>
        </w:rPr>
        <w:t xml:space="preserve">. </w:t>
      </w:r>
    </w:p>
    <w:p w14:paraId="6256F8B1" w14:textId="4400C1D3" w:rsidR="00FE453B" w:rsidRPr="001C1754" w:rsidRDefault="00FE453B" w:rsidP="001C1754">
      <w:pPr>
        <w:spacing w:after="0" w:line="240" w:lineRule="auto"/>
        <w:jc w:val="both"/>
        <w:rPr>
          <w:rFonts w:ascii="Aptos" w:hAnsi="Aptos" w:cs="Arial"/>
          <w:noProof/>
          <w:highlight w:val="yellow"/>
        </w:rPr>
      </w:pPr>
      <w:r w:rsidRPr="001C1754">
        <w:rPr>
          <w:rFonts w:ascii="Aptos" w:hAnsi="Aptos" w:cs="Arial"/>
          <w:noProof/>
        </w:rPr>
        <w:drawing>
          <wp:inline distT="0" distB="0" distL="0" distR="0" wp14:anchorId="47F38DA2" wp14:editId="2B051839">
            <wp:extent cx="5730875" cy="2146300"/>
            <wp:effectExtent l="0" t="0" r="3175" b="6350"/>
            <wp:docPr id="100659835" name="Picture 1" descr="Table 1.0. presents a summary of our performance and highlights trends across all nine metrics from 2020 to 202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9835" name="Picture 1" descr="Table 1.0. presents a summary of our performance and highlights trends across all nine metrics from 2020 to 2025&#10;&#10;"/>
                    <pic:cNvPicPr/>
                  </pic:nvPicPr>
                  <pic:blipFill rotWithShape="1">
                    <a:blip r:embed="rId11"/>
                    <a:srcRect l="1985" t="35725" r="23715" b="19267"/>
                    <a:stretch>
                      <a:fillRect/>
                    </a:stretch>
                  </pic:blipFill>
                  <pic:spPr bwMode="auto">
                    <a:xfrm>
                      <a:off x="0" y="0"/>
                      <a:ext cx="5736664" cy="2148468"/>
                    </a:xfrm>
                    <a:prstGeom prst="rect">
                      <a:avLst/>
                    </a:prstGeom>
                    <a:ln>
                      <a:noFill/>
                    </a:ln>
                    <a:extLst>
                      <a:ext uri="{53640926-AAD7-44D8-BBD7-CCE9431645EC}">
                        <a14:shadowObscured xmlns:a14="http://schemas.microsoft.com/office/drawing/2010/main"/>
                      </a:ext>
                    </a:extLst>
                  </pic:spPr>
                </pic:pic>
              </a:graphicData>
            </a:graphic>
          </wp:inline>
        </w:drawing>
      </w:r>
    </w:p>
    <w:p w14:paraId="48143FCE" w14:textId="77777777" w:rsidR="00FE453B" w:rsidRPr="001C1754" w:rsidRDefault="00FE453B" w:rsidP="001C1754">
      <w:pPr>
        <w:spacing w:after="0" w:line="240" w:lineRule="auto"/>
        <w:jc w:val="both"/>
        <w:rPr>
          <w:rFonts w:ascii="Aptos" w:hAnsi="Aptos" w:cs="Arial"/>
          <w:noProof/>
          <w:highlight w:val="yellow"/>
        </w:rPr>
      </w:pPr>
    </w:p>
    <w:p w14:paraId="627A68B8" w14:textId="77777777" w:rsidR="00FF64D5" w:rsidRDefault="00FF64D5" w:rsidP="00BF35E9">
      <w:pPr>
        <w:spacing w:after="0" w:line="240" w:lineRule="auto"/>
        <w:rPr>
          <w:rFonts w:ascii="Aptos" w:hAnsi="Aptos" w:cs="Arial"/>
        </w:rPr>
      </w:pPr>
      <w:r w:rsidRPr="001C1754">
        <w:rPr>
          <w:rFonts w:ascii="Aptos" w:hAnsi="Aptos" w:cs="Arial"/>
        </w:rPr>
        <w:t>Note: Staff survey metrics are 1 year behind the submission year; the 2025 data shown in this table are 2024 staff survey metrics.</w:t>
      </w:r>
    </w:p>
    <w:p w14:paraId="1D1CB5A1" w14:textId="77777777" w:rsidR="008F67AA" w:rsidRDefault="008F67AA" w:rsidP="001C1754">
      <w:pPr>
        <w:spacing w:after="0" w:line="240" w:lineRule="auto"/>
        <w:jc w:val="both"/>
        <w:rPr>
          <w:rFonts w:ascii="Aptos" w:hAnsi="Aptos" w:cs="Arial"/>
        </w:rPr>
      </w:pPr>
    </w:p>
    <w:p w14:paraId="0BF1AB43" w14:textId="77777777" w:rsidR="008F67AA" w:rsidRDefault="008F67AA" w:rsidP="001C1754">
      <w:pPr>
        <w:spacing w:after="0" w:line="240" w:lineRule="auto"/>
        <w:jc w:val="both"/>
        <w:rPr>
          <w:rFonts w:ascii="Aptos" w:hAnsi="Aptos" w:cs="Arial"/>
        </w:rPr>
      </w:pPr>
    </w:p>
    <w:p w14:paraId="1FD2D742" w14:textId="77777777" w:rsidR="001009AE" w:rsidRDefault="001009AE" w:rsidP="001C1754">
      <w:pPr>
        <w:spacing w:after="0" w:line="240" w:lineRule="auto"/>
        <w:jc w:val="both"/>
        <w:rPr>
          <w:rFonts w:ascii="Aptos" w:hAnsi="Aptos" w:cs="Arial"/>
        </w:rPr>
      </w:pPr>
    </w:p>
    <w:p w14:paraId="5EB77322" w14:textId="77777777" w:rsidR="001009AE" w:rsidRDefault="001009AE" w:rsidP="001C1754">
      <w:pPr>
        <w:spacing w:after="0" w:line="240" w:lineRule="auto"/>
        <w:jc w:val="both"/>
        <w:rPr>
          <w:rFonts w:ascii="Aptos" w:hAnsi="Aptos" w:cs="Arial"/>
        </w:rPr>
      </w:pPr>
    </w:p>
    <w:p w14:paraId="388EBAC8" w14:textId="77777777" w:rsidR="001009AE" w:rsidRDefault="001009AE" w:rsidP="001C1754">
      <w:pPr>
        <w:spacing w:after="0" w:line="240" w:lineRule="auto"/>
        <w:jc w:val="both"/>
        <w:rPr>
          <w:rFonts w:ascii="Aptos" w:hAnsi="Aptos" w:cs="Arial"/>
        </w:rPr>
      </w:pPr>
    </w:p>
    <w:p w14:paraId="5E709985" w14:textId="77777777" w:rsidR="001009AE" w:rsidRDefault="001009AE" w:rsidP="001C1754">
      <w:pPr>
        <w:spacing w:after="0" w:line="240" w:lineRule="auto"/>
        <w:jc w:val="both"/>
        <w:rPr>
          <w:rFonts w:ascii="Aptos" w:hAnsi="Aptos" w:cs="Arial"/>
        </w:rPr>
      </w:pPr>
    </w:p>
    <w:p w14:paraId="7D5AC752" w14:textId="77777777" w:rsidR="00452529" w:rsidRPr="001C1754" w:rsidRDefault="00452529" w:rsidP="001C1754">
      <w:pPr>
        <w:spacing w:after="0" w:line="240" w:lineRule="auto"/>
        <w:jc w:val="both"/>
        <w:rPr>
          <w:rFonts w:ascii="Aptos" w:hAnsi="Aptos" w:cs="Arial"/>
        </w:rPr>
      </w:pPr>
    </w:p>
    <w:p w14:paraId="0D1032F6" w14:textId="77777777" w:rsidR="00FF64D5" w:rsidRDefault="00FF64D5" w:rsidP="001C1754">
      <w:pPr>
        <w:pStyle w:val="Heading1"/>
        <w:spacing w:before="0" w:after="0" w:line="240" w:lineRule="auto"/>
        <w:jc w:val="both"/>
        <w:rPr>
          <w:rFonts w:ascii="Aptos" w:hAnsi="Aptos" w:cs="Arial"/>
        </w:rPr>
      </w:pPr>
      <w:bookmarkStart w:id="5" w:name="_Toc196746728"/>
      <w:r w:rsidRPr="001C1754">
        <w:rPr>
          <w:rFonts w:ascii="Aptos" w:hAnsi="Aptos" w:cs="Arial"/>
        </w:rPr>
        <w:lastRenderedPageBreak/>
        <w:t>Metric 1 – Overall Representation</w:t>
      </w:r>
      <w:bookmarkEnd w:id="5"/>
    </w:p>
    <w:p w14:paraId="2FAEDA0C" w14:textId="77777777" w:rsidR="008F67AA" w:rsidRPr="001009AE" w:rsidRDefault="008F67AA" w:rsidP="001009AE"/>
    <w:p w14:paraId="02B6F52A" w14:textId="51DFDC70" w:rsidR="00452529" w:rsidRDefault="002E6C90" w:rsidP="00BF35E9">
      <w:pPr>
        <w:spacing w:after="0" w:line="240" w:lineRule="auto"/>
        <w:rPr>
          <w:rFonts w:ascii="Aptos" w:hAnsi="Aptos" w:cs="Arial"/>
        </w:rPr>
      </w:pPr>
      <w:r w:rsidRPr="001C1754">
        <w:rPr>
          <w:rFonts w:ascii="Aptos" w:hAnsi="Aptos" w:cs="Arial"/>
        </w:rPr>
        <w:t>As of March 2025, data from the NHS Electronic Staff Record (ESR) shows that 4</w:t>
      </w:r>
      <w:r w:rsidR="00D66C03" w:rsidRPr="001C1754">
        <w:rPr>
          <w:rFonts w:ascii="Aptos" w:hAnsi="Aptos" w:cs="Arial"/>
        </w:rPr>
        <w:t>5</w:t>
      </w:r>
      <w:r w:rsidRPr="001C1754">
        <w:rPr>
          <w:rFonts w:ascii="Aptos" w:hAnsi="Aptos" w:cs="Arial"/>
        </w:rPr>
        <w:t xml:space="preserve">% of the Trust’s workforce identified as being from a </w:t>
      </w:r>
      <w:r w:rsidR="00452529">
        <w:rPr>
          <w:rFonts w:ascii="Aptos" w:hAnsi="Aptos" w:cs="Arial"/>
        </w:rPr>
        <w:t>BME</w:t>
      </w:r>
      <w:r w:rsidRPr="001C1754">
        <w:rPr>
          <w:rFonts w:ascii="Aptos" w:hAnsi="Aptos" w:cs="Arial"/>
        </w:rPr>
        <w:t xml:space="preserve"> background —an increase of </w:t>
      </w:r>
      <w:r w:rsidR="007F66A0" w:rsidRPr="001C1754">
        <w:rPr>
          <w:rFonts w:ascii="Aptos" w:hAnsi="Aptos" w:cs="Arial"/>
        </w:rPr>
        <w:t>1% from the previous year</w:t>
      </w:r>
      <w:r w:rsidRPr="001C1754">
        <w:rPr>
          <w:rFonts w:ascii="Aptos" w:hAnsi="Aptos" w:cs="Arial"/>
        </w:rPr>
        <w:t xml:space="preserve">. Sandwell and West Birmingham NHS Trust has experienced an improvement in workforce representation overall since 2020, alongside improvements in the number of staff choosing to disclose their ethnic background. </w:t>
      </w:r>
    </w:p>
    <w:p w14:paraId="38061796" w14:textId="77777777" w:rsidR="00452529" w:rsidRDefault="00452529" w:rsidP="00BF35E9">
      <w:pPr>
        <w:spacing w:after="0" w:line="240" w:lineRule="auto"/>
        <w:rPr>
          <w:rFonts w:ascii="Aptos" w:hAnsi="Aptos" w:cs="Arial"/>
        </w:rPr>
      </w:pPr>
    </w:p>
    <w:p w14:paraId="21AC62C8" w14:textId="20BE688C" w:rsidR="00F227DB" w:rsidRPr="001C1754" w:rsidRDefault="002E6C90" w:rsidP="00BF35E9">
      <w:pPr>
        <w:spacing w:after="0" w:line="240" w:lineRule="auto"/>
        <w:rPr>
          <w:rFonts w:ascii="Aptos" w:hAnsi="Aptos" w:cs="Arial"/>
        </w:rPr>
      </w:pPr>
      <w:r w:rsidRPr="001C1754">
        <w:rPr>
          <w:rFonts w:ascii="Aptos" w:hAnsi="Aptos" w:cs="Arial"/>
        </w:rPr>
        <w:t>This trend suggests that more employees feel confident sharing their ethnicity.</w:t>
      </w:r>
      <w:r w:rsidR="007F66A0" w:rsidRPr="001C1754">
        <w:rPr>
          <w:rFonts w:ascii="Aptos" w:hAnsi="Aptos" w:cs="Arial"/>
        </w:rPr>
        <w:t xml:space="preserve"> The work carried out recently by the Trust to directly employ staff from the </w:t>
      </w:r>
      <w:r w:rsidR="00EB56BC" w:rsidRPr="001C1754">
        <w:rPr>
          <w:rFonts w:ascii="Aptos" w:hAnsi="Aptos" w:cs="Arial"/>
        </w:rPr>
        <w:t>l</w:t>
      </w:r>
      <w:r w:rsidR="007F66A0" w:rsidRPr="001C1754">
        <w:rPr>
          <w:rFonts w:ascii="Aptos" w:hAnsi="Aptos" w:cs="Arial"/>
        </w:rPr>
        <w:t xml:space="preserve">ocal </w:t>
      </w:r>
      <w:r w:rsidR="00EB56BC" w:rsidRPr="001C1754">
        <w:rPr>
          <w:rFonts w:ascii="Aptos" w:hAnsi="Aptos" w:cs="Arial"/>
        </w:rPr>
        <w:t>a</w:t>
      </w:r>
      <w:r w:rsidR="007F66A0" w:rsidRPr="001C1754">
        <w:rPr>
          <w:rFonts w:ascii="Aptos" w:hAnsi="Aptos" w:cs="Arial"/>
        </w:rPr>
        <w:t>rea (</w:t>
      </w:r>
      <w:r w:rsidR="00452529">
        <w:rPr>
          <w:rFonts w:ascii="Aptos" w:hAnsi="Aptos" w:cs="Arial"/>
        </w:rPr>
        <w:t>#</w:t>
      </w:r>
      <w:r w:rsidR="007F66A0" w:rsidRPr="001C1754">
        <w:rPr>
          <w:rFonts w:ascii="Aptos" w:hAnsi="Aptos" w:cs="Arial"/>
        </w:rPr>
        <w:t xml:space="preserve">More </w:t>
      </w:r>
      <w:proofErr w:type="spellStart"/>
      <w:r w:rsidR="007F66A0" w:rsidRPr="001C1754">
        <w:rPr>
          <w:rFonts w:ascii="Aptos" w:hAnsi="Aptos" w:cs="Arial"/>
        </w:rPr>
        <w:t>thanaJob</w:t>
      </w:r>
      <w:proofErr w:type="spellEnd"/>
      <w:r w:rsidR="007F66A0" w:rsidRPr="001C1754">
        <w:rPr>
          <w:rFonts w:ascii="Aptos" w:hAnsi="Aptos" w:cs="Arial"/>
        </w:rPr>
        <w:t xml:space="preserve"> employability programme) has resulted in improvements for workforce representation overall.</w:t>
      </w:r>
      <w:r w:rsidRPr="001C1754">
        <w:rPr>
          <w:rFonts w:ascii="Aptos" w:hAnsi="Aptos" w:cs="Arial"/>
        </w:rPr>
        <w:t xml:space="preserve"> T</w:t>
      </w:r>
      <w:r w:rsidR="00FF64D5" w:rsidRPr="001C1754">
        <w:rPr>
          <w:rFonts w:ascii="Aptos" w:hAnsi="Aptos" w:cs="Arial"/>
        </w:rPr>
        <w:t>he chart below</w:t>
      </w:r>
      <w:r w:rsidR="00F227DB" w:rsidRPr="001C1754">
        <w:rPr>
          <w:rFonts w:ascii="Aptos" w:hAnsi="Aptos" w:cs="Arial"/>
        </w:rPr>
        <w:t xml:space="preserve"> (Table 1.1)</w:t>
      </w:r>
      <w:r w:rsidR="00FF64D5" w:rsidRPr="001C1754">
        <w:rPr>
          <w:rFonts w:ascii="Aptos" w:hAnsi="Aptos" w:cs="Arial"/>
        </w:rPr>
        <w:t xml:space="preserve"> </w:t>
      </w:r>
      <w:r w:rsidRPr="001C1754">
        <w:rPr>
          <w:rFonts w:ascii="Aptos" w:hAnsi="Aptos" w:cs="Arial"/>
        </w:rPr>
        <w:t>provides details on workforce representation.</w:t>
      </w:r>
    </w:p>
    <w:p w14:paraId="218E1ADF" w14:textId="77777777" w:rsidR="00F227DB" w:rsidRPr="001C1754" w:rsidRDefault="00F227DB" w:rsidP="001C1754">
      <w:pPr>
        <w:spacing w:after="0" w:line="240" w:lineRule="auto"/>
        <w:jc w:val="both"/>
        <w:rPr>
          <w:rFonts w:ascii="Aptos" w:hAnsi="Aptos" w:cs="Arial"/>
        </w:rPr>
      </w:pPr>
    </w:p>
    <w:p w14:paraId="7D1E45CD" w14:textId="3856D75B" w:rsidR="00F227DB" w:rsidRPr="001C1754" w:rsidRDefault="00F227DB" w:rsidP="001C1754">
      <w:pPr>
        <w:spacing w:after="0" w:line="240" w:lineRule="auto"/>
        <w:jc w:val="both"/>
        <w:rPr>
          <w:rFonts w:ascii="Aptos" w:hAnsi="Aptos" w:cs="Arial"/>
        </w:rPr>
      </w:pPr>
      <w:r w:rsidRPr="001C1754">
        <w:rPr>
          <w:rFonts w:ascii="Aptos" w:hAnsi="Aptos" w:cs="Arial"/>
        </w:rPr>
        <w:t>Table 1.1</w:t>
      </w:r>
    </w:p>
    <w:p w14:paraId="249B26E0" w14:textId="72A4EDD7" w:rsidR="002E6C90" w:rsidRPr="001C1754" w:rsidRDefault="002E6C90" w:rsidP="001C1754">
      <w:pPr>
        <w:spacing w:after="0" w:line="240" w:lineRule="auto"/>
        <w:jc w:val="both"/>
        <w:rPr>
          <w:rFonts w:ascii="Aptos" w:hAnsi="Aptos" w:cs="Arial"/>
          <w:highlight w:val="yellow"/>
        </w:rPr>
      </w:pPr>
      <w:r w:rsidRPr="001C1754">
        <w:rPr>
          <w:rFonts w:ascii="Aptos" w:hAnsi="Aptos" w:cs="Arial"/>
          <w:noProof/>
        </w:rPr>
        <w:drawing>
          <wp:inline distT="0" distB="0" distL="0" distR="0" wp14:anchorId="3C454AF0" wp14:editId="607EB834">
            <wp:extent cx="4770783" cy="2910177"/>
            <wp:effectExtent l="0" t="0" r="10795" b="5080"/>
            <wp:docPr id="2107243546" name="Chart 1" descr="Table 1.1 Bar chart showing staff ethnicity from 2020 to 2025. SWB shows a decrease in White staff from 51% to 44% and an increase in BME and Not Stated/Unknown percentages.">
              <a:extLst xmlns:a="http://schemas.openxmlformats.org/drawingml/2006/main">
                <a:ext uri="{FF2B5EF4-FFF2-40B4-BE49-F238E27FC236}">
                  <a16:creationId xmlns:a16="http://schemas.microsoft.com/office/drawing/2014/main" id="{ADD4EB6E-75A0-8C0E-B58E-A671B81F6494}"/>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AE6116" w14:textId="325CBB4B" w:rsidR="00FF64D5" w:rsidRPr="001C1754" w:rsidRDefault="00FF64D5" w:rsidP="001C1754">
      <w:pPr>
        <w:spacing w:after="0" w:line="240" w:lineRule="auto"/>
        <w:jc w:val="both"/>
        <w:rPr>
          <w:rFonts w:ascii="Aptos" w:hAnsi="Aptos" w:cs="Arial"/>
        </w:rPr>
      </w:pPr>
    </w:p>
    <w:p w14:paraId="23EE39C2" w14:textId="25637CC2" w:rsidR="003D72E3" w:rsidRDefault="003D72E3" w:rsidP="00BF35E9">
      <w:pPr>
        <w:pStyle w:val="Heading1"/>
        <w:spacing w:before="0" w:after="0" w:line="240" w:lineRule="auto"/>
        <w:rPr>
          <w:rFonts w:ascii="Aptos" w:hAnsi="Aptos" w:cs="Arial"/>
          <w:color w:val="auto"/>
          <w:sz w:val="24"/>
          <w:szCs w:val="24"/>
        </w:rPr>
      </w:pPr>
      <w:bookmarkStart w:id="6" w:name="_Toc196746729"/>
      <w:r w:rsidRPr="001C1754">
        <w:rPr>
          <w:rFonts w:ascii="Aptos" w:hAnsi="Aptos" w:cs="Arial"/>
          <w:b/>
          <w:bCs/>
          <w:color w:val="auto"/>
          <w:sz w:val="24"/>
          <w:szCs w:val="24"/>
        </w:rPr>
        <w:t>Metric 1 data</w:t>
      </w:r>
      <w:r w:rsidRPr="001C1754">
        <w:rPr>
          <w:rFonts w:ascii="Aptos" w:hAnsi="Aptos" w:cs="Arial"/>
          <w:color w:val="auto"/>
          <w:sz w:val="24"/>
          <w:szCs w:val="24"/>
        </w:rPr>
        <w:t xml:space="preserve"> is split by clinical and non-clinical roles to highlight staff disparities and guide focused action. Clinical roles involve direct patient care with medical qualifications; non-clinical roles provide administrative and operational support. The tables below show ethnic representation by pay band, revealing distinct patterns for tailored interventions.</w:t>
      </w:r>
    </w:p>
    <w:p w14:paraId="177BDF5D" w14:textId="77777777" w:rsidR="00452529" w:rsidRDefault="00452529" w:rsidP="00452529"/>
    <w:p w14:paraId="05F29453" w14:textId="77777777" w:rsidR="00917AEB" w:rsidRDefault="00917AEB" w:rsidP="001009AE"/>
    <w:p w14:paraId="58B918A9" w14:textId="77777777" w:rsidR="001009AE" w:rsidRDefault="001009AE" w:rsidP="001009AE"/>
    <w:p w14:paraId="5BB95471" w14:textId="77777777" w:rsidR="001009AE" w:rsidRPr="001009AE" w:rsidRDefault="001009AE" w:rsidP="001009AE"/>
    <w:p w14:paraId="0D42F88C" w14:textId="6FE94CD0" w:rsidR="00917AEB" w:rsidRPr="001009AE" w:rsidRDefault="00FF64D5" w:rsidP="00BF35E9">
      <w:pPr>
        <w:pStyle w:val="Heading1"/>
        <w:spacing w:before="0" w:after="0" w:line="240" w:lineRule="auto"/>
        <w:rPr>
          <w:rFonts w:ascii="Aptos" w:hAnsi="Aptos" w:cs="Arial"/>
        </w:rPr>
      </w:pPr>
      <w:r w:rsidRPr="001C1754">
        <w:rPr>
          <w:rFonts w:ascii="Aptos" w:hAnsi="Aptos" w:cs="Arial"/>
        </w:rPr>
        <w:lastRenderedPageBreak/>
        <w:t>Metric 1 – Non-Clinical Banding Comparison 2024-2025</w:t>
      </w:r>
      <w:bookmarkEnd w:id="6"/>
    </w:p>
    <w:p w14:paraId="75960478" w14:textId="62F04EE0" w:rsidR="00FF64D5" w:rsidRDefault="00FF64D5" w:rsidP="00BF35E9">
      <w:pPr>
        <w:spacing w:after="0" w:line="240" w:lineRule="auto"/>
        <w:rPr>
          <w:rFonts w:ascii="Aptos" w:hAnsi="Aptos" w:cs="Arial"/>
        </w:rPr>
      </w:pPr>
      <w:r w:rsidRPr="001C1754">
        <w:rPr>
          <w:rFonts w:ascii="Aptos" w:hAnsi="Aptos" w:cs="Arial"/>
        </w:rPr>
        <w:t>The data</w:t>
      </w:r>
      <w:r w:rsidR="00403DC5" w:rsidRPr="001C1754">
        <w:rPr>
          <w:rFonts w:ascii="Aptos" w:hAnsi="Aptos" w:cs="Arial"/>
        </w:rPr>
        <w:t xml:space="preserve"> in Table 1.2</w:t>
      </w:r>
      <w:r w:rsidRPr="001C1754">
        <w:rPr>
          <w:rFonts w:ascii="Aptos" w:hAnsi="Aptos" w:cs="Arial"/>
        </w:rPr>
        <w:t xml:space="preserve"> highlights</w:t>
      </w:r>
      <w:r w:rsidR="003D72E3" w:rsidRPr="001C1754">
        <w:rPr>
          <w:rFonts w:ascii="Aptos" w:hAnsi="Aptos" w:cs="Arial"/>
        </w:rPr>
        <w:t xml:space="preserve"> patterns of inequality within the agenda for change </w:t>
      </w:r>
      <w:r w:rsidR="00CE6824" w:rsidRPr="001C1754">
        <w:rPr>
          <w:rFonts w:ascii="Aptos" w:hAnsi="Aptos" w:cs="Arial"/>
        </w:rPr>
        <w:t>pay</w:t>
      </w:r>
      <w:r w:rsidR="003D72E3" w:rsidRPr="001C1754">
        <w:rPr>
          <w:rFonts w:ascii="Aptos" w:hAnsi="Aptos" w:cs="Arial"/>
        </w:rPr>
        <w:t xml:space="preserve"> scales</w:t>
      </w:r>
      <w:r w:rsidR="00CE6824" w:rsidRPr="001C1754">
        <w:rPr>
          <w:rFonts w:ascii="Aptos" w:hAnsi="Aptos" w:cs="Arial"/>
        </w:rPr>
        <w:t>,</w:t>
      </w:r>
      <w:r w:rsidR="003D72E3" w:rsidRPr="001C1754">
        <w:rPr>
          <w:rFonts w:ascii="Aptos" w:hAnsi="Aptos" w:cs="Arial"/>
        </w:rPr>
        <w:t xml:space="preserve"> with BME staff being </w:t>
      </w:r>
      <w:r w:rsidR="00CE6824" w:rsidRPr="001C1754">
        <w:rPr>
          <w:rFonts w:ascii="Aptos" w:hAnsi="Aptos" w:cs="Arial"/>
        </w:rPr>
        <w:t>overrepresented in the lower pay scales when compared to colleagues from a non-BME background.</w:t>
      </w:r>
      <w:r w:rsidRPr="001C1754">
        <w:rPr>
          <w:rFonts w:ascii="Aptos" w:hAnsi="Aptos" w:cs="Arial"/>
        </w:rPr>
        <w:t xml:space="preserve"> </w:t>
      </w:r>
      <w:r w:rsidR="00CE6824" w:rsidRPr="001C1754">
        <w:rPr>
          <w:rFonts w:ascii="Aptos" w:hAnsi="Aptos" w:cs="Arial"/>
        </w:rPr>
        <w:t>For example</w:t>
      </w:r>
      <w:r w:rsidRPr="001C1754">
        <w:rPr>
          <w:rFonts w:ascii="Aptos" w:hAnsi="Aptos" w:cs="Arial"/>
        </w:rPr>
        <w:t>,</w:t>
      </w:r>
      <w:r w:rsidR="00CE6824" w:rsidRPr="001C1754">
        <w:rPr>
          <w:rFonts w:ascii="Aptos" w:hAnsi="Aptos" w:cs="Arial"/>
        </w:rPr>
        <w:t xml:space="preserve"> BME staff are over-represented in</w:t>
      </w:r>
      <w:r w:rsidRPr="001C1754">
        <w:rPr>
          <w:rFonts w:ascii="Aptos" w:hAnsi="Aptos" w:cs="Arial"/>
        </w:rPr>
        <w:t xml:space="preserve"> Bands </w:t>
      </w:r>
      <w:r w:rsidR="00CE6824" w:rsidRPr="001C1754">
        <w:rPr>
          <w:rFonts w:ascii="Aptos" w:hAnsi="Aptos" w:cs="Arial"/>
        </w:rPr>
        <w:t>2</w:t>
      </w:r>
      <w:r w:rsidRPr="001C1754">
        <w:rPr>
          <w:rFonts w:ascii="Aptos" w:hAnsi="Aptos" w:cs="Arial"/>
        </w:rPr>
        <w:t xml:space="preserve"> (Apprentices), </w:t>
      </w:r>
      <w:r w:rsidR="00CE6824" w:rsidRPr="001C1754">
        <w:rPr>
          <w:rFonts w:ascii="Aptos" w:hAnsi="Aptos" w:cs="Arial"/>
        </w:rPr>
        <w:t>3,5</w:t>
      </w:r>
      <w:r w:rsidRPr="001C1754">
        <w:rPr>
          <w:rFonts w:ascii="Aptos" w:hAnsi="Aptos" w:cs="Arial"/>
        </w:rPr>
        <w:t>, and 6, but decline sharply at senior levels, with</w:t>
      </w:r>
      <w:r w:rsidR="00CE6824" w:rsidRPr="001C1754">
        <w:rPr>
          <w:rFonts w:ascii="Aptos" w:hAnsi="Aptos" w:cs="Arial"/>
        </w:rPr>
        <w:t xml:space="preserve"> only 22% of </w:t>
      </w:r>
      <w:r w:rsidRPr="001C1754">
        <w:rPr>
          <w:rFonts w:ascii="Aptos" w:hAnsi="Aptos" w:cs="Arial"/>
        </w:rPr>
        <w:t xml:space="preserve"> VSM role</w:t>
      </w:r>
      <w:r w:rsidR="00CE6824" w:rsidRPr="001C1754">
        <w:rPr>
          <w:rFonts w:ascii="Aptos" w:hAnsi="Aptos" w:cs="Arial"/>
        </w:rPr>
        <w:t>s being held by BME colleagues</w:t>
      </w:r>
      <w:r w:rsidR="00917AEB">
        <w:rPr>
          <w:rFonts w:ascii="Aptos" w:hAnsi="Aptos" w:cs="Arial"/>
        </w:rPr>
        <w:t>.</w:t>
      </w:r>
    </w:p>
    <w:p w14:paraId="72DE25E0" w14:textId="77777777" w:rsidR="00917AEB" w:rsidRPr="001C1754" w:rsidRDefault="00917AEB" w:rsidP="00BF35E9">
      <w:pPr>
        <w:spacing w:after="0" w:line="240" w:lineRule="auto"/>
        <w:rPr>
          <w:rFonts w:ascii="Aptos" w:hAnsi="Aptos" w:cs="Arial"/>
        </w:rPr>
      </w:pPr>
    </w:p>
    <w:p w14:paraId="1992A70C" w14:textId="1D473D31" w:rsidR="00CE6824" w:rsidRDefault="00CE6824" w:rsidP="00BF35E9">
      <w:pPr>
        <w:spacing w:after="0" w:line="240" w:lineRule="auto"/>
        <w:rPr>
          <w:rFonts w:ascii="Aptos" w:hAnsi="Aptos" w:cs="Arial"/>
        </w:rPr>
      </w:pPr>
      <w:r w:rsidRPr="001C1754">
        <w:rPr>
          <w:rFonts w:ascii="Aptos" w:hAnsi="Aptos" w:cs="Arial"/>
        </w:rPr>
        <w:t xml:space="preserve">Although responses marked as ‘Not Stated/Unknown’ are few, the evident pattern indicates issues with progression that </w:t>
      </w:r>
      <w:r w:rsidR="00E8611A" w:rsidRPr="001C1754">
        <w:rPr>
          <w:rFonts w:ascii="Aptos" w:hAnsi="Aptos" w:cs="Arial"/>
        </w:rPr>
        <w:t>limit</w:t>
      </w:r>
      <w:r w:rsidRPr="001C1754">
        <w:rPr>
          <w:rFonts w:ascii="Aptos" w:hAnsi="Aptos" w:cs="Arial"/>
        </w:rPr>
        <w:t xml:space="preserve"> staff from BME backgrounds from securing higher-level posts and senior leadership positions. The data highlights the importance of the Trust continuing to implement focused, targeted measures to enhance equity in career development and leadership opportunities</w:t>
      </w:r>
      <w:r w:rsidR="00D66C03" w:rsidRPr="001C1754">
        <w:rPr>
          <w:rFonts w:ascii="Aptos" w:hAnsi="Aptos" w:cs="Arial"/>
        </w:rPr>
        <w:t xml:space="preserve"> through its current Inclusive Recruitment work</w:t>
      </w:r>
      <w:r w:rsidR="00E8611A" w:rsidRPr="001C1754">
        <w:rPr>
          <w:rFonts w:ascii="Aptos" w:hAnsi="Aptos" w:cs="Arial"/>
        </w:rPr>
        <w:t>stream</w:t>
      </w:r>
      <w:r w:rsidRPr="001C1754">
        <w:rPr>
          <w:rFonts w:ascii="Aptos" w:hAnsi="Aptos" w:cs="Arial"/>
        </w:rPr>
        <w:t>, ensur</w:t>
      </w:r>
      <w:r w:rsidR="00D66C03" w:rsidRPr="001C1754">
        <w:rPr>
          <w:rFonts w:ascii="Aptos" w:hAnsi="Aptos" w:cs="Arial"/>
        </w:rPr>
        <w:t>ing</w:t>
      </w:r>
      <w:r w:rsidRPr="001C1754">
        <w:rPr>
          <w:rFonts w:ascii="Aptos" w:hAnsi="Aptos" w:cs="Arial"/>
        </w:rPr>
        <w:t xml:space="preserve"> inclusive promotion processes, and effectively </w:t>
      </w:r>
      <w:r w:rsidR="00D66C03" w:rsidRPr="001C1754">
        <w:rPr>
          <w:rFonts w:ascii="Aptos" w:hAnsi="Aptos" w:cs="Arial"/>
        </w:rPr>
        <w:t>supporting</w:t>
      </w:r>
      <w:r w:rsidRPr="001C1754">
        <w:rPr>
          <w:rFonts w:ascii="Aptos" w:hAnsi="Aptos" w:cs="Arial"/>
        </w:rPr>
        <w:t xml:space="preserve"> and </w:t>
      </w:r>
      <w:r w:rsidR="00D66C03" w:rsidRPr="001C1754">
        <w:rPr>
          <w:rFonts w:ascii="Aptos" w:hAnsi="Aptos" w:cs="Arial"/>
        </w:rPr>
        <w:t>retaining</w:t>
      </w:r>
      <w:r w:rsidRPr="001C1754">
        <w:rPr>
          <w:rFonts w:ascii="Aptos" w:hAnsi="Aptos" w:cs="Arial"/>
        </w:rPr>
        <w:t xml:space="preserve"> diverse talent across all levels.</w:t>
      </w:r>
    </w:p>
    <w:p w14:paraId="6E051283" w14:textId="77777777" w:rsidR="00917AEB" w:rsidRPr="001C1754" w:rsidRDefault="00917AEB" w:rsidP="001C1754">
      <w:pPr>
        <w:spacing w:after="0" w:line="240" w:lineRule="auto"/>
        <w:jc w:val="both"/>
        <w:rPr>
          <w:rFonts w:ascii="Aptos" w:hAnsi="Aptos" w:cs="Arial"/>
        </w:rPr>
      </w:pPr>
    </w:p>
    <w:p w14:paraId="0C58D2C7" w14:textId="46EC956F" w:rsidR="00CE6824" w:rsidRPr="001C1754" w:rsidRDefault="00403DC5" w:rsidP="001C1754">
      <w:pPr>
        <w:spacing w:after="0" w:line="240" w:lineRule="auto"/>
        <w:jc w:val="both"/>
        <w:rPr>
          <w:rFonts w:ascii="Aptos" w:hAnsi="Aptos" w:cs="Arial"/>
        </w:rPr>
      </w:pPr>
      <w:r w:rsidRPr="001C1754">
        <w:rPr>
          <w:rFonts w:ascii="Aptos" w:hAnsi="Aptos" w:cs="Arial"/>
        </w:rPr>
        <w:t>Table 1.2</w:t>
      </w:r>
    </w:p>
    <w:p w14:paraId="0FAC5493" w14:textId="449BF285" w:rsidR="00FF64D5" w:rsidRPr="001C1754" w:rsidRDefault="003D72E3" w:rsidP="001C1754">
      <w:pPr>
        <w:spacing w:after="0" w:line="240" w:lineRule="auto"/>
        <w:jc w:val="both"/>
        <w:rPr>
          <w:rFonts w:ascii="Aptos" w:hAnsi="Aptos" w:cs="Arial"/>
        </w:rPr>
      </w:pPr>
      <w:r w:rsidRPr="001C1754">
        <w:rPr>
          <w:rFonts w:ascii="Aptos" w:hAnsi="Aptos" w:cs="Arial"/>
          <w:noProof/>
        </w:rPr>
        <w:drawing>
          <wp:inline distT="0" distB="0" distL="0" distR="0" wp14:anchorId="2DB3AABD" wp14:editId="0253815D">
            <wp:extent cx="5731510" cy="3552825"/>
            <wp:effectExtent l="0" t="0" r="2540" b="9525"/>
            <wp:docPr id="117773221" name="Chart 1" descr="Bar chart showing non-clinical staff ethnicity by AfC band. White representation is highest in senior bands, while BME representation increases in lower bands.”">
              <a:extLst xmlns:a="http://schemas.openxmlformats.org/drawingml/2006/main">
                <a:ext uri="{FF2B5EF4-FFF2-40B4-BE49-F238E27FC236}">
                  <a16:creationId xmlns:a16="http://schemas.microsoft.com/office/drawing/2014/main" id="{C61BA602-6078-4573-BDA7-888A05F36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97BC08" w14:textId="77777777" w:rsidR="00917AEB" w:rsidRDefault="00917AEB" w:rsidP="001C1754">
      <w:pPr>
        <w:spacing w:after="0" w:line="240" w:lineRule="auto"/>
        <w:jc w:val="both"/>
        <w:rPr>
          <w:rFonts w:ascii="Aptos" w:hAnsi="Aptos" w:cs="Arial"/>
        </w:rPr>
      </w:pPr>
      <w:bookmarkStart w:id="7" w:name="_Toc196746730"/>
    </w:p>
    <w:p w14:paraId="71BE8ACB" w14:textId="17B87CC8" w:rsidR="00FF64D5" w:rsidRDefault="00FF64D5" w:rsidP="001C1754">
      <w:pPr>
        <w:spacing w:after="0" w:line="240" w:lineRule="auto"/>
        <w:jc w:val="both"/>
        <w:rPr>
          <w:rFonts w:ascii="Aptos" w:hAnsi="Aptos" w:cs="Arial"/>
        </w:rPr>
      </w:pPr>
      <w:r w:rsidRPr="001C1754">
        <w:rPr>
          <w:rFonts w:ascii="Aptos" w:hAnsi="Aptos" w:cs="Arial"/>
        </w:rPr>
        <w:t>Metric 1 – Clinical Banding Comparison 2024 -2025</w:t>
      </w:r>
      <w:bookmarkEnd w:id="7"/>
    </w:p>
    <w:p w14:paraId="53D3D004" w14:textId="77777777" w:rsidR="00917AEB" w:rsidRPr="001C1754" w:rsidRDefault="00917AEB" w:rsidP="001C1754">
      <w:pPr>
        <w:spacing w:after="0" w:line="240" w:lineRule="auto"/>
        <w:jc w:val="both"/>
        <w:rPr>
          <w:rFonts w:ascii="Aptos" w:hAnsi="Aptos" w:cs="Arial"/>
        </w:rPr>
      </w:pPr>
    </w:p>
    <w:p w14:paraId="0FAB87C0" w14:textId="77777777" w:rsidR="00F8470C" w:rsidRPr="001C1754" w:rsidRDefault="00F8470C" w:rsidP="001C1754">
      <w:pPr>
        <w:pStyle w:val="NormalWeb"/>
        <w:spacing w:before="0" w:beforeAutospacing="0" w:after="0" w:afterAutospacing="0"/>
        <w:rPr>
          <w:rFonts w:ascii="Aptos" w:hAnsi="Aptos" w:cs="Arial"/>
        </w:rPr>
      </w:pPr>
      <w:r w:rsidRPr="001C1754">
        <w:rPr>
          <w:rStyle w:val="Strong"/>
          <w:rFonts w:ascii="Aptos" w:eastAsiaTheme="majorEastAsia" w:hAnsi="Aptos" w:cs="Arial"/>
        </w:rPr>
        <w:t>Analysis of Representation Across Clinical Bands:</w:t>
      </w:r>
    </w:p>
    <w:p w14:paraId="428391DD" w14:textId="34858FF0" w:rsidR="00F8470C" w:rsidRPr="001C1754" w:rsidRDefault="00F8470C" w:rsidP="001C1754">
      <w:pPr>
        <w:pStyle w:val="NormalWeb"/>
        <w:spacing w:before="0" w:beforeAutospacing="0" w:after="0" w:afterAutospacing="0"/>
        <w:rPr>
          <w:rFonts w:ascii="Aptos" w:hAnsi="Aptos" w:cs="Arial"/>
        </w:rPr>
      </w:pPr>
      <w:r w:rsidRPr="001C1754">
        <w:rPr>
          <w:rFonts w:ascii="Aptos" w:hAnsi="Aptos" w:cs="Arial"/>
        </w:rPr>
        <w:t>The data</w:t>
      </w:r>
      <w:r w:rsidR="00403DC5" w:rsidRPr="001C1754">
        <w:rPr>
          <w:rFonts w:ascii="Aptos" w:hAnsi="Aptos" w:cs="Arial"/>
        </w:rPr>
        <w:t xml:space="preserve"> in table 1.3</w:t>
      </w:r>
      <w:r w:rsidRPr="001C1754">
        <w:rPr>
          <w:rFonts w:ascii="Aptos" w:hAnsi="Aptos" w:cs="Arial"/>
        </w:rPr>
        <w:t xml:space="preserve"> reveals </w:t>
      </w:r>
      <w:r w:rsidR="00403DC5" w:rsidRPr="001C1754">
        <w:rPr>
          <w:rFonts w:ascii="Aptos" w:hAnsi="Aptos" w:cs="Arial"/>
        </w:rPr>
        <w:t xml:space="preserve">a good </w:t>
      </w:r>
      <w:r w:rsidRPr="001C1754">
        <w:rPr>
          <w:rFonts w:ascii="Aptos" w:hAnsi="Aptos" w:cs="Arial"/>
        </w:rPr>
        <w:t xml:space="preserve">representation of </w:t>
      </w:r>
      <w:r w:rsidR="00917AEB">
        <w:rPr>
          <w:rFonts w:ascii="Aptos" w:hAnsi="Aptos" w:cs="Arial"/>
        </w:rPr>
        <w:t>BME</w:t>
      </w:r>
      <w:r w:rsidRPr="001C1754">
        <w:rPr>
          <w:rFonts w:ascii="Aptos" w:hAnsi="Aptos" w:cs="Arial"/>
        </w:rPr>
        <w:t xml:space="preserve"> staff across clinical Bands 5 to 8a, with particularly high diversity at Band 6, where BME staff constitute up to 45% of the workforce. However, this level of representation sharply declines at senior leadership levels. Bands 8c, 8d, and 9, as well as Very Senior Manager (VSM) roles, are predominantly held by staff from white backgrounds. Notably, Band 9 includes only 20% BME representation, while VSM roles are exclusively occupied by white staff.</w:t>
      </w:r>
    </w:p>
    <w:p w14:paraId="4C7F9F34" w14:textId="4934F7ED" w:rsidR="00F8470C" w:rsidRDefault="00F8470C" w:rsidP="001C1754">
      <w:pPr>
        <w:pStyle w:val="NormalWeb"/>
        <w:spacing w:before="0" w:beforeAutospacing="0" w:after="0" w:afterAutospacing="0"/>
        <w:rPr>
          <w:rFonts w:ascii="Aptos" w:hAnsi="Aptos" w:cs="Arial"/>
        </w:rPr>
      </w:pPr>
      <w:r w:rsidRPr="001C1754">
        <w:rPr>
          <w:rFonts w:ascii="Aptos" w:hAnsi="Aptos" w:cs="Arial"/>
        </w:rPr>
        <w:lastRenderedPageBreak/>
        <w:t xml:space="preserve">This disparity signals a significant </w:t>
      </w:r>
      <w:r w:rsidRPr="001C1754">
        <w:rPr>
          <w:rStyle w:val="Strong"/>
          <w:rFonts w:ascii="Aptos" w:eastAsiaTheme="majorEastAsia" w:hAnsi="Aptos" w:cs="Arial"/>
          <w:b w:val="0"/>
          <w:bCs w:val="0"/>
        </w:rPr>
        <w:t>progression gap</w:t>
      </w:r>
      <w:r w:rsidRPr="001C1754">
        <w:rPr>
          <w:rFonts w:ascii="Aptos" w:hAnsi="Aptos" w:cs="Arial"/>
        </w:rPr>
        <w:t xml:space="preserve">, whereby </w:t>
      </w:r>
      <w:r w:rsidR="00310701" w:rsidRPr="001C1754">
        <w:rPr>
          <w:rFonts w:ascii="Aptos" w:hAnsi="Aptos" w:cs="Arial"/>
        </w:rPr>
        <w:t xml:space="preserve">BME </w:t>
      </w:r>
      <w:r w:rsidRPr="001C1754">
        <w:rPr>
          <w:rFonts w:ascii="Aptos" w:hAnsi="Aptos" w:cs="Arial"/>
        </w:rPr>
        <w:t>clinical staff, despite being well-represented at operational levels, are not advancing proportionately into senior leadership positions.</w:t>
      </w:r>
    </w:p>
    <w:p w14:paraId="42E0EF46" w14:textId="77777777" w:rsidR="00917AEB" w:rsidRPr="001C1754" w:rsidRDefault="00917AEB" w:rsidP="001C1754">
      <w:pPr>
        <w:pStyle w:val="NormalWeb"/>
        <w:spacing w:before="0" w:beforeAutospacing="0" w:after="0" w:afterAutospacing="0"/>
        <w:rPr>
          <w:rFonts w:ascii="Aptos" w:hAnsi="Aptos" w:cs="Arial"/>
        </w:rPr>
      </w:pPr>
    </w:p>
    <w:p w14:paraId="570B7883" w14:textId="1D6D6010" w:rsidR="00F8470C" w:rsidRPr="001C1754" w:rsidRDefault="00F8470C" w:rsidP="001C1754">
      <w:pPr>
        <w:pStyle w:val="NormalWeb"/>
        <w:spacing w:before="0" w:beforeAutospacing="0" w:after="0" w:afterAutospacing="0"/>
        <w:rPr>
          <w:rFonts w:ascii="Aptos" w:hAnsi="Aptos" w:cs="Arial"/>
        </w:rPr>
      </w:pPr>
      <w:r w:rsidRPr="001C1754">
        <w:rPr>
          <w:rFonts w:ascii="Aptos" w:hAnsi="Aptos" w:cs="Arial"/>
        </w:rPr>
        <w:t>To address this imbalance,</w:t>
      </w:r>
      <w:r w:rsidR="00E8611A" w:rsidRPr="001C1754">
        <w:rPr>
          <w:rFonts w:ascii="Aptos" w:hAnsi="Aptos" w:cs="Arial"/>
        </w:rPr>
        <w:t xml:space="preserve"> focused</w:t>
      </w:r>
      <w:r w:rsidRPr="001C1754">
        <w:rPr>
          <w:rFonts w:ascii="Aptos" w:hAnsi="Aptos" w:cs="Arial"/>
        </w:rPr>
        <w:t xml:space="preserve"> </w:t>
      </w:r>
      <w:r w:rsidR="00D66C03" w:rsidRPr="001C1754">
        <w:rPr>
          <w:rFonts w:ascii="Aptos" w:hAnsi="Aptos" w:cs="Arial"/>
        </w:rPr>
        <w:t>work is ongoing as part of</w:t>
      </w:r>
      <w:r w:rsidRPr="001C1754">
        <w:rPr>
          <w:rFonts w:ascii="Aptos" w:hAnsi="Aptos" w:cs="Arial"/>
        </w:rPr>
        <w:t xml:space="preserve"> the</w:t>
      </w:r>
      <w:r w:rsidR="00ED624F" w:rsidRPr="001C1754">
        <w:rPr>
          <w:rFonts w:ascii="Aptos" w:hAnsi="Aptos" w:cs="Arial"/>
        </w:rPr>
        <w:t xml:space="preserve"> existing</w:t>
      </w:r>
      <w:r w:rsidRPr="001C1754">
        <w:rPr>
          <w:rFonts w:ascii="Aptos" w:hAnsi="Aptos" w:cs="Arial"/>
        </w:rPr>
        <w:t xml:space="preserve"> Inclusive Talent Management and Resourcing Group</w:t>
      </w:r>
      <w:r w:rsidR="00E8611A" w:rsidRPr="001C1754">
        <w:rPr>
          <w:rFonts w:ascii="Aptos" w:hAnsi="Aptos" w:cs="Arial"/>
        </w:rPr>
        <w:t xml:space="preserve"> workstream</w:t>
      </w:r>
      <w:r w:rsidRPr="001C1754">
        <w:rPr>
          <w:rFonts w:ascii="Aptos" w:hAnsi="Aptos" w:cs="Arial"/>
        </w:rPr>
        <w:t xml:space="preserve"> to:</w:t>
      </w:r>
    </w:p>
    <w:p w14:paraId="6E1B25A2" w14:textId="5D40D2F4" w:rsidR="00F8470C" w:rsidRPr="001C1754" w:rsidRDefault="00F8470C" w:rsidP="001C1754">
      <w:pPr>
        <w:pStyle w:val="NormalWeb"/>
        <w:numPr>
          <w:ilvl w:val="0"/>
          <w:numId w:val="5"/>
        </w:numPr>
        <w:spacing w:before="0" w:beforeAutospacing="0" w:after="0" w:afterAutospacing="0"/>
        <w:rPr>
          <w:rFonts w:ascii="Aptos" w:hAnsi="Aptos" w:cs="Arial"/>
        </w:rPr>
      </w:pPr>
      <w:r w:rsidRPr="001C1754">
        <w:rPr>
          <w:rFonts w:ascii="Aptos" w:hAnsi="Aptos" w:cs="Arial"/>
        </w:rPr>
        <w:t xml:space="preserve">Strengthen </w:t>
      </w:r>
      <w:r w:rsidRPr="001C1754">
        <w:rPr>
          <w:rStyle w:val="Strong"/>
          <w:rFonts w:ascii="Aptos" w:eastAsiaTheme="majorEastAsia" w:hAnsi="Aptos" w:cs="Arial"/>
          <w:b w:val="0"/>
          <w:bCs w:val="0"/>
        </w:rPr>
        <w:t>inclusive career development</w:t>
      </w:r>
      <w:r w:rsidRPr="001C1754">
        <w:rPr>
          <w:rFonts w:ascii="Aptos" w:hAnsi="Aptos" w:cs="Arial"/>
        </w:rPr>
        <w:t xml:space="preserve"> </w:t>
      </w:r>
      <w:r w:rsidR="00310701" w:rsidRPr="001C1754">
        <w:rPr>
          <w:rFonts w:ascii="Aptos" w:hAnsi="Aptos" w:cs="Arial"/>
        </w:rPr>
        <w:t>pathways.</w:t>
      </w:r>
    </w:p>
    <w:p w14:paraId="227FB535" w14:textId="14671138" w:rsidR="00F8470C" w:rsidRPr="001C1754" w:rsidRDefault="00F8470C" w:rsidP="001C1754">
      <w:pPr>
        <w:pStyle w:val="NormalWeb"/>
        <w:numPr>
          <w:ilvl w:val="0"/>
          <w:numId w:val="5"/>
        </w:numPr>
        <w:spacing w:before="0" w:beforeAutospacing="0" w:after="0" w:afterAutospacing="0"/>
        <w:rPr>
          <w:rFonts w:ascii="Aptos" w:hAnsi="Aptos" w:cs="Arial"/>
        </w:rPr>
      </w:pPr>
      <w:r w:rsidRPr="001C1754">
        <w:rPr>
          <w:rFonts w:ascii="Aptos" w:hAnsi="Aptos" w:cs="Arial"/>
        </w:rPr>
        <w:t xml:space="preserve">Implement targeted </w:t>
      </w:r>
      <w:r w:rsidRPr="001C1754">
        <w:rPr>
          <w:rStyle w:val="Strong"/>
          <w:rFonts w:ascii="Aptos" w:eastAsiaTheme="majorEastAsia" w:hAnsi="Aptos" w:cs="Arial"/>
          <w:b w:val="0"/>
          <w:bCs w:val="0"/>
        </w:rPr>
        <w:t>succession planning</w:t>
      </w:r>
      <w:r w:rsidRPr="001C1754">
        <w:rPr>
          <w:rFonts w:ascii="Aptos" w:hAnsi="Aptos" w:cs="Arial"/>
        </w:rPr>
        <w:t xml:space="preserve"> that supports BME </w:t>
      </w:r>
      <w:r w:rsidR="00310701" w:rsidRPr="001C1754">
        <w:rPr>
          <w:rFonts w:ascii="Aptos" w:hAnsi="Aptos" w:cs="Arial"/>
        </w:rPr>
        <w:t>staff.</w:t>
      </w:r>
    </w:p>
    <w:p w14:paraId="185787C0" w14:textId="720D43C1" w:rsidR="00F8470C" w:rsidRPr="001C1754" w:rsidRDefault="00F8470C" w:rsidP="001C1754">
      <w:pPr>
        <w:pStyle w:val="NormalWeb"/>
        <w:numPr>
          <w:ilvl w:val="0"/>
          <w:numId w:val="5"/>
        </w:numPr>
        <w:spacing w:before="0" w:beforeAutospacing="0" w:after="0" w:afterAutospacing="0"/>
        <w:rPr>
          <w:rFonts w:ascii="Aptos" w:hAnsi="Aptos" w:cs="Arial"/>
        </w:rPr>
      </w:pPr>
      <w:r w:rsidRPr="001C1754">
        <w:rPr>
          <w:rFonts w:ascii="Aptos" w:hAnsi="Aptos" w:cs="Arial"/>
        </w:rPr>
        <w:t xml:space="preserve">Enhance access to </w:t>
      </w:r>
      <w:r w:rsidRPr="001C1754">
        <w:rPr>
          <w:rStyle w:val="Strong"/>
          <w:rFonts w:ascii="Aptos" w:eastAsiaTheme="majorEastAsia" w:hAnsi="Aptos" w:cs="Arial"/>
          <w:b w:val="0"/>
          <w:bCs w:val="0"/>
        </w:rPr>
        <w:t>leadership development opportunities</w:t>
      </w:r>
      <w:r w:rsidRPr="001C1754">
        <w:rPr>
          <w:rFonts w:ascii="Aptos" w:hAnsi="Aptos" w:cs="Arial"/>
        </w:rPr>
        <w:t>.</w:t>
      </w:r>
    </w:p>
    <w:p w14:paraId="70FF8DE4" w14:textId="77777777" w:rsidR="00F8470C" w:rsidRDefault="00F8470C" w:rsidP="001C1754">
      <w:pPr>
        <w:pStyle w:val="NormalWeb"/>
        <w:numPr>
          <w:ilvl w:val="0"/>
          <w:numId w:val="5"/>
        </w:numPr>
        <w:spacing w:before="0" w:beforeAutospacing="0" w:after="0" w:afterAutospacing="0"/>
        <w:rPr>
          <w:rFonts w:ascii="Aptos" w:hAnsi="Aptos" w:cs="Arial"/>
        </w:rPr>
      </w:pPr>
      <w:r w:rsidRPr="001C1754">
        <w:rPr>
          <w:rFonts w:ascii="Aptos" w:hAnsi="Aptos" w:cs="Arial"/>
        </w:rPr>
        <w:t xml:space="preserve">Ensure that progression processes are </w:t>
      </w:r>
      <w:r w:rsidRPr="001C1754">
        <w:rPr>
          <w:rStyle w:val="Strong"/>
          <w:rFonts w:ascii="Aptos" w:eastAsiaTheme="majorEastAsia" w:hAnsi="Aptos" w:cs="Arial"/>
          <w:b w:val="0"/>
          <w:bCs w:val="0"/>
        </w:rPr>
        <w:t>equitable, transparent, and accessible</w:t>
      </w:r>
      <w:r w:rsidRPr="001C1754">
        <w:rPr>
          <w:rFonts w:ascii="Aptos" w:hAnsi="Aptos" w:cs="Arial"/>
        </w:rPr>
        <w:t xml:space="preserve"> to all staff.</w:t>
      </w:r>
    </w:p>
    <w:p w14:paraId="0166411E" w14:textId="579E20E3" w:rsidR="00F8470C" w:rsidRDefault="00F8470C" w:rsidP="001C1754">
      <w:pPr>
        <w:pStyle w:val="NormalWeb"/>
        <w:spacing w:before="0" w:beforeAutospacing="0" w:after="0" w:afterAutospacing="0"/>
        <w:rPr>
          <w:rFonts w:ascii="Aptos" w:hAnsi="Aptos" w:cs="Arial"/>
        </w:rPr>
      </w:pPr>
      <w:r w:rsidRPr="001C1754">
        <w:rPr>
          <w:rFonts w:ascii="Aptos" w:hAnsi="Aptos" w:cs="Arial"/>
        </w:rPr>
        <w:t>Creating a truly inclusive leadership pipeline is essential for achieving equity and ensuring that the clinical leadership reflects the diversity of the wider workforce and the communities served.</w:t>
      </w:r>
    </w:p>
    <w:p w14:paraId="56EE355A" w14:textId="77777777" w:rsidR="00803FAE" w:rsidRPr="001C1754" w:rsidRDefault="00803FAE" w:rsidP="001C1754">
      <w:pPr>
        <w:pStyle w:val="NormalWeb"/>
        <w:spacing w:before="0" w:beforeAutospacing="0" w:after="0" w:afterAutospacing="0"/>
        <w:rPr>
          <w:rFonts w:ascii="Aptos" w:hAnsi="Aptos" w:cs="Arial"/>
        </w:rPr>
      </w:pPr>
    </w:p>
    <w:p w14:paraId="6B677C3F" w14:textId="3CCE53CD" w:rsidR="00403DC5" w:rsidRPr="001C1754" w:rsidRDefault="00403DC5" w:rsidP="001C1754">
      <w:pPr>
        <w:pStyle w:val="NormalWeb"/>
        <w:spacing w:before="0" w:beforeAutospacing="0" w:after="0" w:afterAutospacing="0"/>
        <w:rPr>
          <w:rFonts w:ascii="Aptos" w:hAnsi="Aptos" w:cs="Arial"/>
        </w:rPr>
      </w:pPr>
      <w:r w:rsidRPr="001C1754">
        <w:rPr>
          <w:rFonts w:ascii="Aptos" w:hAnsi="Aptos" w:cs="Arial"/>
        </w:rPr>
        <w:t>Table 1.3</w:t>
      </w:r>
    </w:p>
    <w:p w14:paraId="2A0E263B" w14:textId="0F253A7A" w:rsidR="00FF64D5" w:rsidRPr="001C1754" w:rsidRDefault="006C7A6B" w:rsidP="001C1754">
      <w:pPr>
        <w:spacing w:after="0" w:line="240" w:lineRule="auto"/>
        <w:jc w:val="both"/>
        <w:rPr>
          <w:rFonts w:ascii="Aptos" w:hAnsi="Aptos" w:cs="Arial"/>
        </w:rPr>
      </w:pPr>
      <w:r w:rsidRPr="001C1754">
        <w:rPr>
          <w:rFonts w:ascii="Aptos" w:hAnsi="Aptos" w:cs="Arial"/>
          <w:noProof/>
        </w:rPr>
        <w:drawing>
          <wp:inline distT="0" distB="0" distL="0" distR="0" wp14:anchorId="0F8A81FA" wp14:editId="2CB2AF45">
            <wp:extent cx="5731510" cy="3556635"/>
            <wp:effectExtent l="0" t="0" r="2540" b="5715"/>
            <wp:docPr id="628505119" name="Chart 1" descr="Table 1.3:  Bar chart showing clinical staff ethnicity by AfC band. White representation is higher in senior bands, while BME representation increases in lower bands.">
              <a:extLst xmlns:a="http://schemas.openxmlformats.org/drawingml/2006/main">
                <a:ext uri="{FF2B5EF4-FFF2-40B4-BE49-F238E27FC236}">
                  <a16:creationId xmlns:a16="http://schemas.microsoft.com/office/drawing/2014/main" id="{4835D94D-8FE8-4BB4-8C4E-755C93449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470F6A" w14:textId="77777777" w:rsidR="00917AEB" w:rsidRDefault="00917AEB" w:rsidP="00BF35E9">
      <w:bookmarkStart w:id="8" w:name="_Toc196746731"/>
    </w:p>
    <w:p w14:paraId="5BF45905" w14:textId="6434B8A1" w:rsidR="00917AEB" w:rsidRDefault="00FF64D5" w:rsidP="00BF35E9">
      <w:pPr>
        <w:pStyle w:val="Heading1"/>
        <w:spacing w:before="0" w:after="0" w:line="240" w:lineRule="auto"/>
        <w:rPr>
          <w:rFonts w:ascii="Aptos" w:hAnsi="Aptos" w:cs="Arial"/>
        </w:rPr>
      </w:pPr>
      <w:r w:rsidRPr="001C1754">
        <w:rPr>
          <w:rFonts w:ascii="Aptos" w:hAnsi="Aptos" w:cs="Arial"/>
        </w:rPr>
        <w:t>Metric 2 – Relative likelihood of white applicants being appointed from shortlisting across all posts compared to ethnically diverse applicants</w:t>
      </w:r>
      <w:bookmarkEnd w:id="8"/>
      <w:r w:rsidRPr="001C1754">
        <w:rPr>
          <w:rFonts w:ascii="Aptos" w:hAnsi="Aptos" w:cs="Arial"/>
        </w:rPr>
        <w:t xml:space="preserve"> </w:t>
      </w:r>
    </w:p>
    <w:p w14:paraId="58253022" w14:textId="4EBA4BA2" w:rsidR="007F66A0" w:rsidRDefault="007F66A0" w:rsidP="001C1754">
      <w:pPr>
        <w:pStyle w:val="NormalWeb"/>
        <w:spacing w:before="0" w:beforeAutospacing="0" w:after="0" w:afterAutospacing="0"/>
        <w:rPr>
          <w:rFonts w:ascii="Aptos" w:hAnsi="Aptos" w:cs="Arial"/>
        </w:rPr>
      </w:pPr>
      <w:r w:rsidRPr="001C1754">
        <w:rPr>
          <w:rFonts w:ascii="Aptos" w:hAnsi="Aptos" w:cs="Arial"/>
        </w:rPr>
        <w:t xml:space="preserve">In 2025, the relative likelihood of applicants from Black and Minority Ethnic (BME) backgrounds being appointed from shortlisting was </w:t>
      </w:r>
      <w:r w:rsidRPr="001C1754">
        <w:rPr>
          <w:rStyle w:val="Strong"/>
          <w:rFonts w:ascii="Aptos" w:eastAsiaTheme="majorEastAsia" w:hAnsi="Aptos" w:cs="Arial"/>
        </w:rPr>
        <w:t>1.54</w:t>
      </w:r>
      <w:r w:rsidRPr="001C1754">
        <w:rPr>
          <w:rFonts w:ascii="Aptos" w:hAnsi="Aptos" w:cs="Arial"/>
        </w:rPr>
        <w:t xml:space="preserve">, an increase from </w:t>
      </w:r>
      <w:r w:rsidRPr="001C1754">
        <w:rPr>
          <w:rStyle w:val="Strong"/>
          <w:rFonts w:ascii="Aptos" w:eastAsiaTheme="majorEastAsia" w:hAnsi="Aptos" w:cs="Arial"/>
        </w:rPr>
        <w:t>1.06</w:t>
      </w:r>
      <w:r w:rsidRPr="001C1754">
        <w:rPr>
          <w:rFonts w:ascii="Aptos" w:hAnsi="Aptos" w:cs="Arial"/>
        </w:rPr>
        <w:t xml:space="preserve"> in 2024. While a score of 1.00 indicates parity between groups, this rise reflects a </w:t>
      </w:r>
      <w:r w:rsidRPr="001C1754">
        <w:rPr>
          <w:rStyle w:val="Strong"/>
          <w:rFonts w:ascii="Aptos" w:eastAsiaTheme="majorEastAsia" w:hAnsi="Aptos" w:cs="Arial"/>
          <w:b w:val="0"/>
          <w:bCs w:val="0"/>
        </w:rPr>
        <w:t>decline in equity</w:t>
      </w:r>
      <w:r w:rsidRPr="001C1754">
        <w:rPr>
          <w:rFonts w:ascii="Aptos" w:hAnsi="Aptos" w:cs="Arial"/>
        </w:rPr>
        <w:t xml:space="preserve"> for this indicator, suggesting that white applicants were less likely to be appointed than their BME counterparts at this stage.</w:t>
      </w:r>
    </w:p>
    <w:p w14:paraId="52B04BD8" w14:textId="77777777" w:rsidR="00917AEB" w:rsidRPr="001C1754" w:rsidRDefault="00917AEB" w:rsidP="001C1754">
      <w:pPr>
        <w:pStyle w:val="NormalWeb"/>
        <w:spacing w:before="0" w:beforeAutospacing="0" w:after="0" w:afterAutospacing="0"/>
        <w:rPr>
          <w:rFonts w:ascii="Aptos" w:hAnsi="Aptos" w:cs="Arial"/>
        </w:rPr>
      </w:pPr>
    </w:p>
    <w:p w14:paraId="25B46C28" w14:textId="77777777" w:rsidR="007F66A0" w:rsidRDefault="007F66A0" w:rsidP="001C1754">
      <w:pPr>
        <w:pStyle w:val="NormalWeb"/>
        <w:spacing w:before="0" w:beforeAutospacing="0" w:after="0" w:afterAutospacing="0"/>
        <w:rPr>
          <w:rFonts w:ascii="Aptos" w:hAnsi="Aptos" w:cs="Arial"/>
        </w:rPr>
      </w:pPr>
      <w:r w:rsidRPr="001C1754">
        <w:rPr>
          <w:rFonts w:ascii="Aptos" w:hAnsi="Aptos" w:cs="Arial"/>
        </w:rPr>
        <w:t xml:space="preserve">Appointment rates further illustrate this disparity, with </w:t>
      </w:r>
      <w:r w:rsidRPr="001C1754">
        <w:rPr>
          <w:rStyle w:val="Strong"/>
          <w:rFonts w:ascii="Aptos" w:eastAsiaTheme="majorEastAsia" w:hAnsi="Aptos" w:cs="Arial"/>
          <w:b w:val="0"/>
          <w:bCs w:val="0"/>
        </w:rPr>
        <w:t>13% of ethnic minority applicants</w:t>
      </w:r>
      <w:r w:rsidRPr="001C1754">
        <w:rPr>
          <w:rFonts w:ascii="Aptos" w:hAnsi="Aptos" w:cs="Arial"/>
          <w:b/>
          <w:bCs/>
        </w:rPr>
        <w:t xml:space="preserve"> </w:t>
      </w:r>
      <w:r w:rsidRPr="001C1754">
        <w:rPr>
          <w:rFonts w:ascii="Aptos" w:hAnsi="Aptos" w:cs="Arial"/>
        </w:rPr>
        <w:t>being appointed, compared to</w:t>
      </w:r>
      <w:r w:rsidRPr="001C1754">
        <w:rPr>
          <w:rFonts w:ascii="Aptos" w:hAnsi="Aptos" w:cs="Arial"/>
          <w:b/>
          <w:bCs/>
        </w:rPr>
        <w:t xml:space="preserve"> </w:t>
      </w:r>
      <w:r w:rsidRPr="001C1754">
        <w:rPr>
          <w:rStyle w:val="Strong"/>
          <w:rFonts w:ascii="Aptos" w:eastAsiaTheme="majorEastAsia" w:hAnsi="Aptos" w:cs="Arial"/>
          <w:b w:val="0"/>
          <w:bCs w:val="0"/>
        </w:rPr>
        <w:t>20% of white applicants</w:t>
      </w:r>
      <w:r w:rsidRPr="001C1754">
        <w:rPr>
          <w:rFonts w:ascii="Aptos" w:hAnsi="Aptos" w:cs="Arial"/>
        </w:rPr>
        <w:t>.</w:t>
      </w:r>
    </w:p>
    <w:p w14:paraId="79C9EFCD" w14:textId="77777777" w:rsidR="00917AEB" w:rsidRPr="001C1754" w:rsidRDefault="00917AEB" w:rsidP="001C1754">
      <w:pPr>
        <w:pStyle w:val="NormalWeb"/>
        <w:spacing w:before="0" w:beforeAutospacing="0" w:after="0" w:afterAutospacing="0"/>
        <w:rPr>
          <w:rFonts w:ascii="Aptos" w:hAnsi="Aptos" w:cs="Arial"/>
        </w:rPr>
      </w:pPr>
    </w:p>
    <w:p w14:paraId="15A61246" w14:textId="77777777" w:rsidR="007F66A0" w:rsidRPr="001C1754" w:rsidRDefault="007F66A0" w:rsidP="001C1754">
      <w:pPr>
        <w:pStyle w:val="NormalWeb"/>
        <w:spacing w:before="0" w:beforeAutospacing="0" w:after="0" w:afterAutospacing="0"/>
        <w:rPr>
          <w:rFonts w:ascii="Aptos" w:hAnsi="Aptos" w:cs="Arial"/>
        </w:rPr>
      </w:pPr>
      <w:r w:rsidRPr="001C1754">
        <w:rPr>
          <w:rFonts w:ascii="Aptos" w:hAnsi="Aptos" w:cs="Arial"/>
        </w:rPr>
        <w:t xml:space="preserve">It is important to note that for previous reporting years, data was sourced from ESR rather than TRAC. As a result, there are known </w:t>
      </w:r>
      <w:r w:rsidRPr="001C1754">
        <w:rPr>
          <w:rStyle w:val="Strong"/>
          <w:rFonts w:ascii="Aptos" w:eastAsiaTheme="majorEastAsia" w:hAnsi="Aptos" w:cs="Arial"/>
          <w:b w:val="0"/>
          <w:bCs w:val="0"/>
        </w:rPr>
        <w:t>anomalies with WRES Indicator 2</w:t>
      </w:r>
      <w:r w:rsidRPr="001C1754">
        <w:rPr>
          <w:rFonts w:ascii="Aptos" w:hAnsi="Aptos" w:cs="Arial"/>
          <w:b/>
          <w:bCs/>
        </w:rPr>
        <w:t>.</w:t>
      </w:r>
      <w:r w:rsidRPr="001C1754">
        <w:rPr>
          <w:rFonts w:ascii="Aptos" w:hAnsi="Aptos" w:cs="Arial"/>
        </w:rPr>
        <w:t xml:space="preserve"> This issue will be addressed in the next WRES reporting cycle, with </w:t>
      </w:r>
      <w:r w:rsidRPr="001C1754">
        <w:rPr>
          <w:rStyle w:val="Strong"/>
          <w:rFonts w:ascii="Aptos" w:eastAsiaTheme="majorEastAsia" w:hAnsi="Aptos" w:cs="Arial"/>
          <w:b w:val="0"/>
          <w:bCs w:val="0"/>
        </w:rPr>
        <w:t>TRAC recruitment data</w:t>
      </w:r>
      <w:r w:rsidRPr="001C1754">
        <w:rPr>
          <w:rFonts w:ascii="Aptos" w:hAnsi="Aptos" w:cs="Arial"/>
        </w:rPr>
        <w:t xml:space="preserve"> used as the standard data source moving forward.</w:t>
      </w:r>
    </w:p>
    <w:p w14:paraId="72AB21F1" w14:textId="1B72F7F2" w:rsidR="005C7CE3" w:rsidRPr="001C1754" w:rsidRDefault="00403DC5" w:rsidP="001C1754">
      <w:pPr>
        <w:spacing w:after="0" w:line="240" w:lineRule="auto"/>
        <w:jc w:val="both"/>
        <w:rPr>
          <w:rFonts w:ascii="Aptos" w:hAnsi="Aptos" w:cs="Arial"/>
        </w:rPr>
      </w:pPr>
      <w:r w:rsidRPr="001C1754">
        <w:rPr>
          <w:rFonts w:ascii="Aptos" w:hAnsi="Aptos" w:cs="Arial"/>
        </w:rPr>
        <w:t>Table 2.0</w:t>
      </w:r>
    </w:p>
    <w:p w14:paraId="45F4E541" w14:textId="4CC6A0C0" w:rsidR="005C7CE3" w:rsidRPr="001C1754" w:rsidRDefault="007F66A0" w:rsidP="001C1754">
      <w:pPr>
        <w:spacing w:after="0" w:line="240" w:lineRule="auto"/>
        <w:jc w:val="both"/>
        <w:rPr>
          <w:rFonts w:ascii="Aptos" w:hAnsi="Aptos" w:cs="Arial"/>
        </w:rPr>
      </w:pPr>
      <w:r w:rsidRPr="001C1754">
        <w:rPr>
          <w:rFonts w:ascii="Aptos" w:hAnsi="Aptos" w:cs="Arial"/>
          <w:noProof/>
        </w:rPr>
        <w:drawing>
          <wp:inline distT="0" distB="0" distL="0" distR="0" wp14:anchorId="7B11BF70" wp14:editId="5B24B3A7">
            <wp:extent cx="5731510" cy="2593340"/>
            <wp:effectExtent l="0" t="0" r="2540" b="16510"/>
            <wp:docPr id="612846092" name="Chart 1" descr="Table 2.0: Bar chart showing the relative likelihood of white applicants being appointed compared to BME applicants from 2020 to 2025. The rate decreases from 1.69 in 2022 to 1.06 in 2024, rising slightly to 1.54 in 2025.”">
              <a:extLst xmlns:a="http://schemas.openxmlformats.org/drawingml/2006/main">
                <a:ext uri="{FF2B5EF4-FFF2-40B4-BE49-F238E27FC236}">
                  <a16:creationId xmlns:a16="http://schemas.microsoft.com/office/drawing/2014/main" id="{AF2B5808-87AD-4AB4-AA85-E740DC886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B6D944" w14:textId="1B94678E" w:rsidR="005C7CE3" w:rsidRPr="001C1754" w:rsidRDefault="005C7CE3" w:rsidP="001C1754">
      <w:pPr>
        <w:spacing w:after="0" w:line="240" w:lineRule="auto"/>
        <w:jc w:val="both"/>
        <w:rPr>
          <w:rFonts w:ascii="Aptos" w:hAnsi="Aptos" w:cs="Arial"/>
        </w:rPr>
      </w:pPr>
    </w:p>
    <w:p w14:paraId="33D93E1C" w14:textId="3ABC46CF" w:rsidR="00FF64D5" w:rsidRDefault="00FF64D5" w:rsidP="00BF35E9">
      <w:pPr>
        <w:spacing w:after="0" w:line="240" w:lineRule="auto"/>
        <w:rPr>
          <w:rFonts w:ascii="Aptos" w:hAnsi="Aptos" w:cs="Arial"/>
        </w:rPr>
      </w:pPr>
      <w:r w:rsidRPr="001C1754">
        <w:rPr>
          <w:rFonts w:ascii="Aptos" w:hAnsi="Aptos" w:cs="Arial"/>
        </w:rPr>
        <w:t xml:space="preserve">The data </w:t>
      </w:r>
      <w:r w:rsidR="005C7CE3" w:rsidRPr="001C1754">
        <w:rPr>
          <w:rFonts w:ascii="Aptos" w:hAnsi="Aptos" w:cs="Arial"/>
        </w:rPr>
        <w:t xml:space="preserve">highlights </w:t>
      </w:r>
      <w:r w:rsidRPr="001C1754">
        <w:rPr>
          <w:rFonts w:ascii="Aptos" w:hAnsi="Aptos" w:cs="Arial"/>
        </w:rPr>
        <w:t xml:space="preserve">disparity in recruitment outcomes, highlighting a </w:t>
      </w:r>
      <w:r w:rsidR="005C7CE3" w:rsidRPr="001C1754">
        <w:rPr>
          <w:rFonts w:ascii="Aptos" w:hAnsi="Aptos" w:cs="Arial"/>
        </w:rPr>
        <w:t>requirement t</w:t>
      </w:r>
      <w:r w:rsidRPr="001C1754">
        <w:rPr>
          <w:rFonts w:ascii="Aptos" w:hAnsi="Aptos" w:cs="Arial"/>
        </w:rPr>
        <w:t>o strengthen inclusive hiring practices and reduce bias.</w:t>
      </w:r>
      <w:r w:rsidR="00220D6F" w:rsidRPr="001C1754">
        <w:rPr>
          <w:rFonts w:ascii="Aptos" w:hAnsi="Aptos" w:cs="Arial"/>
        </w:rPr>
        <w:t xml:space="preserve"> Work is ongoing through the Trust’s inclusive recruitment workstream to tackle and eliminate inequalities through the recruitment life cycle.</w:t>
      </w:r>
    </w:p>
    <w:p w14:paraId="16B01B8E" w14:textId="77777777" w:rsidR="00A23088" w:rsidRPr="001C1754" w:rsidRDefault="00A23088" w:rsidP="001C1754">
      <w:pPr>
        <w:spacing w:after="0" w:line="240" w:lineRule="auto"/>
        <w:jc w:val="both"/>
        <w:rPr>
          <w:rFonts w:ascii="Aptos" w:hAnsi="Aptos" w:cs="Arial"/>
        </w:rPr>
      </w:pPr>
    </w:p>
    <w:p w14:paraId="08F0AF34" w14:textId="559BD613" w:rsidR="00803FAE" w:rsidRPr="001009AE" w:rsidRDefault="00FF64D5" w:rsidP="00BF35E9">
      <w:pPr>
        <w:pStyle w:val="Heading1"/>
        <w:spacing w:before="0" w:after="0" w:line="240" w:lineRule="auto"/>
        <w:rPr>
          <w:rFonts w:ascii="Aptos" w:hAnsi="Aptos" w:cs="Arial"/>
        </w:rPr>
      </w:pPr>
      <w:bookmarkStart w:id="9" w:name="_Toc196746732"/>
      <w:r w:rsidRPr="001C1754">
        <w:rPr>
          <w:rFonts w:ascii="Aptos" w:hAnsi="Aptos" w:cs="Arial"/>
        </w:rPr>
        <w:t>Metric 3 - The relative likelihood of ethnically diverse staff entering the formal disciplinary process compared to white staff</w:t>
      </w:r>
      <w:bookmarkEnd w:id="9"/>
    </w:p>
    <w:p w14:paraId="7FA94B1A" w14:textId="5311977A" w:rsidR="00BE6351" w:rsidRPr="001C1754" w:rsidRDefault="00BE6351" w:rsidP="00BF35E9">
      <w:pPr>
        <w:spacing w:after="0" w:line="240" w:lineRule="auto"/>
        <w:rPr>
          <w:rFonts w:ascii="Aptos" w:hAnsi="Aptos" w:cs="Arial"/>
        </w:rPr>
      </w:pPr>
      <w:r w:rsidRPr="001C1754">
        <w:rPr>
          <w:rFonts w:ascii="Aptos" w:hAnsi="Aptos" w:cs="Arial"/>
        </w:rPr>
        <w:t xml:space="preserve">A relative likelihood score above 1.00 means that staff from </w:t>
      </w:r>
      <w:r w:rsidR="00A23088">
        <w:rPr>
          <w:rFonts w:ascii="Aptos" w:hAnsi="Aptos" w:cs="Arial"/>
        </w:rPr>
        <w:t>BME</w:t>
      </w:r>
      <w:r w:rsidRPr="001C1754">
        <w:rPr>
          <w:rFonts w:ascii="Aptos" w:hAnsi="Aptos" w:cs="Arial"/>
        </w:rPr>
        <w:t xml:space="preserve"> backgrounds are more likely than white staff to enter the formal disciplinary process. In 2025, the score is 1.09, showing a slight improvement from 1.20 the previous year. While this indicates some progress, it still highlights that BME staff </w:t>
      </w:r>
      <w:r w:rsidR="00E8611A" w:rsidRPr="001C1754">
        <w:rPr>
          <w:rFonts w:ascii="Aptos" w:hAnsi="Aptos" w:cs="Arial"/>
        </w:rPr>
        <w:t xml:space="preserve">are </w:t>
      </w:r>
      <w:r w:rsidRPr="001C1754">
        <w:rPr>
          <w:rFonts w:ascii="Aptos" w:hAnsi="Aptos" w:cs="Arial"/>
        </w:rPr>
        <w:t>more likely to face formal disciplinary action</w:t>
      </w:r>
      <w:r w:rsidR="00E8611A" w:rsidRPr="001C1754">
        <w:rPr>
          <w:rFonts w:ascii="Aptos" w:hAnsi="Aptos" w:cs="Arial"/>
        </w:rPr>
        <w:t>, highlighting potential bias and inconsistency in how policies are applied</w:t>
      </w:r>
      <w:r w:rsidRPr="001C1754">
        <w:rPr>
          <w:rFonts w:ascii="Aptos" w:hAnsi="Aptos" w:cs="Arial"/>
        </w:rPr>
        <w:t xml:space="preserve">. Specifically, </w:t>
      </w:r>
      <w:r w:rsidR="00E8611A" w:rsidRPr="001C1754">
        <w:rPr>
          <w:rFonts w:ascii="Aptos" w:hAnsi="Aptos" w:cs="Arial"/>
        </w:rPr>
        <w:t xml:space="preserve"> BME Staff </w:t>
      </w:r>
      <w:r w:rsidRPr="001C1754">
        <w:rPr>
          <w:rFonts w:ascii="Aptos" w:hAnsi="Aptos" w:cs="Arial"/>
        </w:rPr>
        <w:t>were 0.4% more likely to enter the process compared to white staff.</w:t>
      </w:r>
      <w:r w:rsidR="00E8611A" w:rsidRPr="001C1754">
        <w:rPr>
          <w:rFonts w:ascii="Aptos" w:hAnsi="Aptos" w:cs="Arial"/>
        </w:rPr>
        <w:t xml:space="preserve"> (0.3%) To address these disparities, a programme of work focused on </w:t>
      </w:r>
      <w:r w:rsidR="00A23088">
        <w:rPr>
          <w:rFonts w:ascii="Aptos" w:hAnsi="Aptos" w:cs="Arial"/>
        </w:rPr>
        <w:t>embedding</w:t>
      </w:r>
      <w:r w:rsidR="00A23088" w:rsidRPr="001C1754">
        <w:rPr>
          <w:rFonts w:ascii="Aptos" w:hAnsi="Aptos" w:cs="Arial"/>
        </w:rPr>
        <w:t xml:space="preserve"> </w:t>
      </w:r>
      <w:r w:rsidR="00E8611A" w:rsidRPr="001C1754">
        <w:rPr>
          <w:rFonts w:ascii="Aptos" w:hAnsi="Aptos" w:cs="Arial"/>
        </w:rPr>
        <w:t xml:space="preserve">a just and restorative learning culture </w:t>
      </w:r>
      <w:r w:rsidR="00A23088">
        <w:rPr>
          <w:rFonts w:ascii="Aptos" w:hAnsi="Aptos" w:cs="Arial"/>
        </w:rPr>
        <w:t xml:space="preserve">specifically focussed on reducing the number of disciplinary cases and </w:t>
      </w:r>
      <w:r w:rsidR="00803FAE">
        <w:rPr>
          <w:rFonts w:ascii="Aptos" w:hAnsi="Aptos" w:cs="Arial"/>
        </w:rPr>
        <w:t>reducing</w:t>
      </w:r>
      <w:r w:rsidR="00A23088">
        <w:rPr>
          <w:rFonts w:ascii="Aptos" w:hAnsi="Aptos" w:cs="Arial"/>
        </w:rPr>
        <w:t xml:space="preserve"> the disproportionate impact of our processes on BME staff </w:t>
      </w:r>
      <w:r w:rsidR="00E8611A" w:rsidRPr="001C1754">
        <w:rPr>
          <w:rFonts w:ascii="Aptos" w:hAnsi="Aptos" w:cs="Arial"/>
        </w:rPr>
        <w:t>is currently underwa</w:t>
      </w:r>
      <w:r w:rsidR="00403DC5" w:rsidRPr="001C1754">
        <w:rPr>
          <w:rFonts w:ascii="Aptos" w:hAnsi="Aptos" w:cs="Arial"/>
        </w:rPr>
        <w:t xml:space="preserve">y as part of </w:t>
      </w:r>
      <w:r w:rsidR="00A23088">
        <w:rPr>
          <w:rFonts w:ascii="Aptos" w:hAnsi="Aptos" w:cs="Arial"/>
        </w:rPr>
        <w:t>our Trust “With you all the way”  Culture Programme.</w:t>
      </w:r>
    </w:p>
    <w:p w14:paraId="78D7EF1D" w14:textId="77777777" w:rsidR="00403DC5" w:rsidRPr="001C1754" w:rsidRDefault="00403DC5" w:rsidP="001C1754">
      <w:pPr>
        <w:spacing w:after="0" w:line="240" w:lineRule="auto"/>
        <w:jc w:val="both"/>
        <w:rPr>
          <w:rFonts w:ascii="Aptos" w:hAnsi="Aptos" w:cs="Arial"/>
        </w:rPr>
      </w:pPr>
    </w:p>
    <w:p w14:paraId="22BA3571" w14:textId="77777777" w:rsidR="00403DC5" w:rsidRPr="001C1754" w:rsidRDefault="00403DC5" w:rsidP="001C1754">
      <w:pPr>
        <w:spacing w:after="0" w:line="240" w:lineRule="auto"/>
        <w:jc w:val="both"/>
        <w:rPr>
          <w:rFonts w:ascii="Aptos" w:hAnsi="Aptos" w:cs="Arial"/>
        </w:rPr>
      </w:pPr>
    </w:p>
    <w:p w14:paraId="24109387" w14:textId="77777777" w:rsidR="00403DC5" w:rsidRPr="001C1754" w:rsidRDefault="00403DC5" w:rsidP="001C1754">
      <w:pPr>
        <w:spacing w:after="0" w:line="240" w:lineRule="auto"/>
        <w:jc w:val="both"/>
        <w:rPr>
          <w:rFonts w:ascii="Aptos" w:hAnsi="Aptos" w:cs="Arial"/>
        </w:rPr>
      </w:pPr>
    </w:p>
    <w:p w14:paraId="69058CBD" w14:textId="71B27582" w:rsidR="00403DC5" w:rsidRPr="001C1754" w:rsidRDefault="00403DC5" w:rsidP="001C1754">
      <w:pPr>
        <w:spacing w:after="0" w:line="240" w:lineRule="auto"/>
        <w:jc w:val="both"/>
        <w:rPr>
          <w:rFonts w:ascii="Aptos" w:hAnsi="Aptos" w:cs="Arial"/>
        </w:rPr>
      </w:pPr>
      <w:r w:rsidRPr="001C1754">
        <w:rPr>
          <w:rFonts w:ascii="Aptos" w:hAnsi="Aptos" w:cs="Arial"/>
        </w:rPr>
        <w:t>Table 3.0</w:t>
      </w:r>
    </w:p>
    <w:p w14:paraId="710FE513" w14:textId="77777777" w:rsidR="00A23088" w:rsidRDefault="00FE453B" w:rsidP="00BF35E9">
      <w:bookmarkStart w:id="10" w:name="_Toc196746733"/>
      <w:r w:rsidRPr="001C1754">
        <w:rPr>
          <w:noProof/>
        </w:rPr>
        <w:drawing>
          <wp:inline distT="0" distB="0" distL="0" distR="0" wp14:anchorId="76F41C53" wp14:editId="5C1EEAB2">
            <wp:extent cx="5731510" cy="2694940"/>
            <wp:effectExtent l="0" t="0" r="2540" b="10160"/>
            <wp:docPr id="1129564651" name="Chart 1" descr="Table 3.0: Bar chart showing likelihood of staff entering formal disciplinary process: White 0.3%, BME 0.4%, Not Stated/Unknown 2.0%, and overall 0.5%.">
              <a:extLst xmlns:a="http://schemas.openxmlformats.org/drawingml/2006/main">
                <a:ext uri="{FF2B5EF4-FFF2-40B4-BE49-F238E27FC236}">
                  <a16:creationId xmlns:a16="http://schemas.microsoft.com/office/drawing/2014/main" id="{159C2A9D-D6C8-31D6-AA02-B3083EE3F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A6BC19" w14:textId="77777777" w:rsidR="00A23088" w:rsidRDefault="00A23088" w:rsidP="00BF35E9"/>
    <w:p w14:paraId="4B448448" w14:textId="56706BB8" w:rsidR="00803FAE" w:rsidRPr="001009AE" w:rsidRDefault="00FF64D5" w:rsidP="00BF35E9">
      <w:pPr>
        <w:pStyle w:val="Heading1"/>
        <w:spacing w:before="0" w:after="0" w:line="240" w:lineRule="auto"/>
        <w:rPr>
          <w:rFonts w:ascii="Aptos" w:hAnsi="Aptos" w:cs="Arial"/>
        </w:rPr>
      </w:pPr>
      <w:r w:rsidRPr="001C1754">
        <w:rPr>
          <w:rFonts w:ascii="Aptos" w:hAnsi="Aptos" w:cs="Arial"/>
        </w:rPr>
        <w:t xml:space="preserve">Metric 4 - The relative likelihood of white staff accessing non–mandatory training and continuing professional development (CPD) compared to </w:t>
      </w:r>
      <w:bookmarkEnd w:id="10"/>
      <w:r w:rsidR="001C36FA" w:rsidRPr="001C1754">
        <w:rPr>
          <w:rFonts w:ascii="Aptos" w:hAnsi="Aptos" w:cs="Arial"/>
        </w:rPr>
        <w:t>Black and Minority Ethic Staff</w:t>
      </w:r>
    </w:p>
    <w:p w14:paraId="3F7DE208" w14:textId="528BC304" w:rsidR="001C36FA" w:rsidRDefault="001C36FA" w:rsidP="00BF35E9">
      <w:pPr>
        <w:pStyle w:val="NormalWeb"/>
        <w:spacing w:before="0" w:beforeAutospacing="0" w:after="0" w:afterAutospacing="0"/>
        <w:rPr>
          <w:rFonts w:ascii="Aptos" w:hAnsi="Aptos" w:cs="Arial"/>
        </w:rPr>
      </w:pPr>
      <w:r w:rsidRPr="001C1754">
        <w:rPr>
          <w:rFonts w:ascii="Aptos" w:hAnsi="Aptos" w:cs="Arial"/>
        </w:rPr>
        <w:t xml:space="preserve">In 2024/25, white staff were </w:t>
      </w:r>
      <w:r w:rsidR="00771B4C" w:rsidRPr="001C1754">
        <w:rPr>
          <w:rFonts w:ascii="Aptos" w:hAnsi="Aptos" w:cs="Arial"/>
        </w:rPr>
        <w:t xml:space="preserve">1.02 </w:t>
      </w:r>
      <w:r w:rsidRPr="001C1754">
        <w:rPr>
          <w:rFonts w:ascii="Aptos" w:hAnsi="Aptos" w:cs="Arial"/>
        </w:rPr>
        <w:t>times</w:t>
      </w:r>
      <w:r w:rsidR="00771B4C" w:rsidRPr="001C1754">
        <w:rPr>
          <w:rFonts w:ascii="Aptos" w:hAnsi="Aptos" w:cs="Arial"/>
        </w:rPr>
        <w:t xml:space="preserve"> more</w:t>
      </w:r>
      <w:r w:rsidRPr="001C1754">
        <w:rPr>
          <w:rFonts w:ascii="Aptos" w:hAnsi="Aptos" w:cs="Arial"/>
        </w:rPr>
        <w:t xml:space="preserve"> likely than </w:t>
      </w:r>
      <w:r w:rsidR="00771B4C" w:rsidRPr="001C1754">
        <w:rPr>
          <w:rFonts w:ascii="Aptos" w:hAnsi="Aptos" w:cs="Arial"/>
        </w:rPr>
        <w:t xml:space="preserve">Black and Minority Ethnic Staff </w:t>
      </w:r>
      <w:r w:rsidRPr="001C1754">
        <w:rPr>
          <w:rFonts w:ascii="Aptos" w:hAnsi="Aptos" w:cs="Arial"/>
        </w:rPr>
        <w:t xml:space="preserve">to access non-mandatory training and CPD, up from </w:t>
      </w:r>
      <w:r w:rsidR="00771B4C" w:rsidRPr="001C1754">
        <w:rPr>
          <w:rFonts w:ascii="Aptos" w:hAnsi="Aptos" w:cs="Arial"/>
        </w:rPr>
        <w:t>0.89</w:t>
      </w:r>
      <w:r w:rsidRPr="001C1754">
        <w:rPr>
          <w:rFonts w:ascii="Aptos" w:hAnsi="Aptos" w:cs="Arial"/>
        </w:rPr>
        <w:t xml:space="preserve"> in 2023/24. A figure above 1.00 indicates greater access for white staff.</w:t>
      </w:r>
    </w:p>
    <w:p w14:paraId="0EDED6FB" w14:textId="77777777" w:rsidR="00A23088" w:rsidRPr="001C1754" w:rsidRDefault="00A23088" w:rsidP="00BF35E9">
      <w:pPr>
        <w:pStyle w:val="NormalWeb"/>
        <w:spacing w:before="0" w:beforeAutospacing="0" w:after="0" w:afterAutospacing="0"/>
        <w:rPr>
          <w:rFonts w:ascii="Aptos" w:hAnsi="Aptos" w:cs="Arial"/>
        </w:rPr>
      </w:pPr>
    </w:p>
    <w:p w14:paraId="5B551BE1" w14:textId="1B9FB28C" w:rsidR="001C36FA" w:rsidRDefault="001C36FA" w:rsidP="00BF35E9">
      <w:pPr>
        <w:pStyle w:val="NormalWeb"/>
        <w:spacing w:before="0" w:beforeAutospacing="0" w:after="0" w:afterAutospacing="0"/>
        <w:rPr>
          <w:rFonts w:ascii="Aptos" w:hAnsi="Aptos" w:cs="Arial"/>
        </w:rPr>
      </w:pPr>
      <w:r w:rsidRPr="001C1754">
        <w:rPr>
          <w:rFonts w:ascii="Aptos" w:hAnsi="Aptos" w:cs="Arial"/>
        </w:rPr>
        <w:t>This is based on total course attendances among substantive staff, where individuals attending multiple sessions are counted multiple times. When using distinct headcount, counting each person only once, the figure rises slightly to 1.29.</w:t>
      </w:r>
    </w:p>
    <w:p w14:paraId="4E32AF58" w14:textId="77777777" w:rsidR="00A23088" w:rsidRPr="001C1754" w:rsidRDefault="00A23088" w:rsidP="00BF35E9">
      <w:pPr>
        <w:pStyle w:val="NormalWeb"/>
        <w:spacing w:before="0" w:beforeAutospacing="0" w:after="0" w:afterAutospacing="0"/>
        <w:rPr>
          <w:rFonts w:ascii="Aptos" w:hAnsi="Aptos" w:cs="Arial"/>
        </w:rPr>
      </w:pPr>
    </w:p>
    <w:p w14:paraId="6B1B71CF" w14:textId="77777777" w:rsidR="001C36FA" w:rsidRDefault="001C36FA" w:rsidP="00BF35E9">
      <w:pPr>
        <w:pStyle w:val="NormalWeb"/>
        <w:spacing w:before="0" w:beforeAutospacing="0" w:after="0" w:afterAutospacing="0"/>
        <w:rPr>
          <w:rFonts w:ascii="Aptos" w:hAnsi="Aptos" w:cs="Arial"/>
        </w:rPr>
      </w:pPr>
      <w:r w:rsidRPr="001C1754">
        <w:rPr>
          <w:rFonts w:ascii="Aptos" w:hAnsi="Aptos" w:cs="Arial"/>
        </w:rPr>
        <w:t>National guidance does not mandate whether to use attendance or headcount. The Trust has traditionally reported attendances, though both methods yield similar outcomes. For example, someone attending two of three allyship sessions would count as two attendances but one headcount.</w:t>
      </w:r>
    </w:p>
    <w:p w14:paraId="626FCECA" w14:textId="77777777" w:rsidR="00A23088" w:rsidRPr="001C1754" w:rsidRDefault="00A23088" w:rsidP="00BF35E9">
      <w:pPr>
        <w:pStyle w:val="NormalWeb"/>
        <w:spacing w:before="0" w:beforeAutospacing="0" w:after="0" w:afterAutospacing="0"/>
        <w:rPr>
          <w:rFonts w:ascii="Aptos" w:hAnsi="Aptos" w:cs="Arial"/>
        </w:rPr>
      </w:pPr>
    </w:p>
    <w:p w14:paraId="0F8A378E" w14:textId="532AF42F" w:rsidR="00FF64D5" w:rsidRPr="001C1754" w:rsidRDefault="001C36FA" w:rsidP="00BF35E9">
      <w:pPr>
        <w:pStyle w:val="NormalWeb"/>
        <w:spacing w:before="0" w:beforeAutospacing="0" w:after="0" w:afterAutospacing="0"/>
        <w:rPr>
          <w:rFonts w:ascii="Aptos" w:hAnsi="Aptos" w:cs="Arial"/>
        </w:rPr>
      </w:pPr>
      <w:r w:rsidRPr="001C1754">
        <w:rPr>
          <w:rFonts w:ascii="Aptos" w:hAnsi="Aptos" w:cs="Arial"/>
        </w:rPr>
        <w:t xml:space="preserve">The Trust remains committed to addressing disparities in access to development and will continue </w:t>
      </w:r>
      <w:r w:rsidR="00FE453B" w:rsidRPr="001C1754">
        <w:rPr>
          <w:rFonts w:ascii="Aptos" w:hAnsi="Aptos" w:cs="Arial"/>
        </w:rPr>
        <w:t>to review its reporting approach in line with best practice</w:t>
      </w:r>
      <w:r w:rsidR="00FF64D5" w:rsidRPr="001C1754">
        <w:rPr>
          <w:rFonts w:ascii="Aptos" w:hAnsi="Aptos" w:cs="Arial"/>
        </w:rPr>
        <w:t>.</w:t>
      </w:r>
    </w:p>
    <w:p w14:paraId="0D22CB2F" w14:textId="77777777" w:rsidR="00A23088" w:rsidRDefault="00A23088" w:rsidP="001C1754">
      <w:pPr>
        <w:pStyle w:val="NormalWeb"/>
        <w:spacing w:before="0" w:beforeAutospacing="0" w:after="0" w:afterAutospacing="0"/>
        <w:jc w:val="both"/>
        <w:rPr>
          <w:rFonts w:ascii="Aptos" w:hAnsi="Aptos" w:cs="Arial"/>
        </w:rPr>
      </w:pPr>
    </w:p>
    <w:p w14:paraId="29783D5D" w14:textId="77777777" w:rsidR="00A23088" w:rsidRDefault="00A23088" w:rsidP="001C1754">
      <w:pPr>
        <w:pStyle w:val="NormalWeb"/>
        <w:spacing w:before="0" w:beforeAutospacing="0" w:after="0" w:afterAutospacing="0"/>
        <w:jc w:val="both"/>
        <w:rPr>
          <w:rFonts w:ascii="Aptos" w:hAnsi="Aptos" w:cs="Arial"/>
        </w:rPr>
      </w:pPr>
    </w:p>
    <w:p w14:paraId="2CB00140" w14:textId="77777777" w:rsidR="00A23088" w:rsidRDefault="00A23088" w:rsidP="001C1754">
      <w:pPr>
        <w:pStyle w:val="NormalWeb"/>
        <w:spacing w:before="0" w:beforeAutospacing="0" w:after="0" w:afterAutospacing="0"/>
        <w:jc w:val="both"/>
        <w:rPr>
          <w:rFonts w:ascii="Aptos" w:hAnsi="Aptos" w:cs="Arial"/>
        </w:rPr>
      </w:pPr>
    </w:p>
    <w:p w14:paraId="0B8D7978" w14:textId="77777777" w:rsidR="00A23088" w:rsidRDefault="00A23088" w:rsidP="001C1754">
      <w:pPr>
        <w:pStyle w:val="NormalWeb"/>
        <w:spacing w:before="0" w:beforeAutospacing="0" w:after="0" w:afterAutospacing="0"/>
        <w:jc w:val="both"/>
        <w:rPr>
          <w:rFonts w:ascii="Aptos" w:hAnsi="Aptos" w:cs="Arial"/>
        </w:rPr>
      </w:pPr>
    </w:p>
    <w:p w14:paraId="54F4488D" w14:textId="77777777" w:rsidR="00A23088" w:rsidRDefault="00A23088" w:rsidP="001C1754">
      <w:pPr>
        <w:pStyle w:val="NormalWeb"/>
        <w:spacing w:before="0" w:beforeAutospacing="0" w:after="0" w:afterAutospacing="0"/>
        <w:jc w:val="both"/>
        <w:rPr>
          <w:rFonts w:ascii="Aptos" w:hAnsi="Aptos" w:cs="Arial"/>
        </w:rPr>
      </w:pPr>
    </w:p>
    <w:p w14:paraId="2EADA161" w14:textId="77777777" w:rsidR="001009AE" w:rsidRDefault="001009AE" w:rsidP="001C1754">
      <w:pPr>
        <w:pStyle w:val="NormalWeb"/>
        <w:spacing w:before="0" w:beforeAutospacing="0" w:after="0" w:afterAutospacing="0"/>
        <w:jc w:val="both"/>
        <w:rPr>
          <w:rFonts w:ascii="Aptos" w:hAnsi="Aptos" w:cs="Arial"/>
        </w:rPr>
      </w:pPr>
    </w:p>
    <w:p w14:paraId="7A246E17" w14:textId="77777777" w:rsidR="001009AE" w:rsidRDefault="001009AE" w:rsidP="001C1754">
      <w:pPr>
        <w:pStyle w:val="NormalWeb"/>
        <w:spacing w:before="0" w:beforeAutospacing="0" w:after="0" w:afterAutospacing="0"/>
        <w:jc w:val="both"/>
        <w:rPr>
          <w:rFonts w:ascii="Aptos" w:hAnsi="Aptos" w:cs="Arial"/>
        </w:rPr>
      </w:pPr>
    </w:p>
    <w:p w14:paraId="3CB02087" w14:textId="77777777" w:rsidR="001009AE" w:rsidRDefault="001009AE" w:rsidP="001C1754">
      <w:pPr>
        <w:pStyle w:val="NormalWeb"/>
        <w:spacing w:before="0" w:beforeAutospacing="0" w:after="0" w:afterAutospacing="0"/>
        <w:jc w:val="both"/>
        <w:rPr>
          <w:rFonts w:ascii="Aptos" w:hAnsi="Aptos" w:cs="Arial"/>
        </w:rPr>
      </w:pPr>
    </w:p>
    <w:p w14:paraId="1EC307FA" w14:textId="62A05A2B" w:rsidR="00403DC5" w:rsidRPr="001C1754" w:rsidRDefault="00403DC5" w:rsidP="001C1754">
      <w:pPr>
        <w:pStyle w:val="NormalWeb"/>
        <w:spacing w:before="0" w:beforeAutospacing="0" w:after="0" w:afterAutospacing="0"/>
        <w:jc w:val="both"/>
        <w:rPr>
          <w:rFonts w:ascii="Aptos" w:hAnsi="Aptos" w:cs="Arial"/>
        </w:rPr>
      </w:pPr>
      <w:r w:rsidRPr="001C1754">
        <w:rPr>
          <w:rFonts w:ascii="Aptos" w:hAnsi="Aptos" w:cs="Arial"/>
        </w:rPr>
        <w:t>Table 4.0</w:t>
      </w:r>
    </w:p>
    <w:p w14:paraId="285F9429" w14:textId="338072C1" w:rsidR="00FE453B" w:rsidRPr="001C1754" w:rsidRDefault="00FE453B" w:rsidP="001C1754">
      <w:pPr>
        <w:pStyle w:val="NormalWeb"/>
        <w:spacing w:before="0" w:beforeAutospacing="0" w:after="0" w:afterAutospacing="0"/>
        <w:jc w:val="both"/>
        <w:rPr>
          <w:rFonts w:ascii="Aptos" w:hAnsi="Aptos" w:cs="Arial"/>
        </w:rPr>
      </w:pPr>
      <w:r w:rsidRPr="001C1754">
        <w:rPr>
          <w:rFonts w:ascii="Aptos" w:hAnsi="Aptos" w:cs="Arial"/>
          <w:noProof/>
        </w:rPr>
        <w:drawing>
          <wp:inline distT="0" distB="0" distL="0" distR="0" wp14:anchorId="1BE1D2B8" wp14:editId="6516A6F8">
            <wp:extent cx="5731510" cy="2707005"/>
            <wp:effectExtent l="0" t="0" r="2540" b="17145"/>
            <wp:docPr id="906505139" name="Chart 1" descr="Table 4.0: Bar chart showing likelihood of staff accessing non-mandatory training: White 33.5%, BME 32.9%, Not Stated/Unknown 30.2%, overall 32.8%.">
              <a:extLst xmlns:a="http://schemas.openxmlformats.org/drawingml/2006/main">
                <a:ext uri="{FF2B5EF4-FFF2-40B4-BE49-F238E27FC236}">
                  <a16:creationId xmlns:a16="http://schemas.microsoft.com/office/drawing/2014/main" id="{E36F5A8C-7247-45D8-9C3F-D06BCA0F8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A84DE0" w14:textId="77777777" w:rsidR="00A23088" w:rsidRDefault="00A23088" w:rsidP="00BF35E9">
      <w:bookmarkStart w:id="11" w:name="_Toc196746734"/>
    </w:p>
    <w:p w14:paraId="5E8FBDD0" w14:textId="7B65FDCC" w:rsidR="00A23088" w:rsidRPr="001009AE" w:rsidRDefault="00FF64D5" w:rsidP="001009AE">
      <w:pPr>
        <w:pStyle w:val="Heading1"/>
        <w:spacing w:before="0" w:after="0" w:line="240" w:lineRule="auto"/>
        <w:rPr>
          <w:rFonts w:ascii="Aptos" w:hAnsi="Aptos" w:cs="Arial"/>
        </w:rPr>
      </w:pPr>
      <w:r w:rsidRPr="001C1754">
        <w:rPr>
          <w:rFonts w:ascii="Aptos" w:hAnsi="Aptos" w:cs="Arial"/>
        </w:rPr>
        <w:t>Metric 5 - The percentage of staff experiencing harassment, bullying or abuse from patients, relatives or the public</w:t>
      </w:r>
      <w:bookmarkEnd w:id="11"/>
    </w:p>
    <w:p w14:paraId="3AE37B73" w14:textId="78B6E818" w:rsidR="00107199" w:rsidRDefault="00FF64D5" w:rsidP="00BF35E9">
      <w:pPr>
        <w:spacing w:after="0" w:line="240" w:lineRule="auto"/>
        <w:rPr>
          <w:rFonts w:ascii="Aptos" w:hAnsi="Aptos" w:cs="Arial"/>
        </w:rPr>
      </w:pPr>
      <w:r w:rsidRPr="001C1754">
        <w:rPr>
          <w:rFonts w:ascii="Aptos" w:hAnsi="Aptos" w:cs="Arial"/>
        </w:rPr>
        <w:t>The proportion of staff reporting harassment, bullying, or abuse from patients, relatives, or the public in the past 12 months has increased</w:t>
      </w:r>
      <w:r w:rsidR="00771B4C" w:rsidRPr="001C1754">
        <w:rPr>
          <w:rFonts w:ascii="Aptos" w:hAnsi="Aptos" w:cs="Arial"/>
        </w:rPr>
        <w:t xml:space="preserve"> slightly</w:t>
      </w:r>
      <w:r w:rsidRPr="001C1754">
        <w:rPr>
          <w:rFonts w:ascii="Aptos" w:hAnsi="Aptos" w:cs="Arial"/>
        </w:rPr>
        <w:t xml:space="preserve"> among staff from </w:t>
      </w:r>
      <w:r w:rsidR="00771B4C" w:rsidRPr="001C1754">
        <w:rPr>
          <w:rFonts w:ascii="Aptos" w:hAnsi="Aptos" w:cs="Arial"/>
        </w:rPr>
        <w:t>Black and Minority Ethnic backgrounds,</w:t>
      </w:r>
      <w:r w:rsidRPr="001C1754">
        <w:rPr>
          <w:rFonts w:ascii="Aptos" w:hAnsi="Aptos" w:cs="Arial"/>
        </w:rPr>
        <w:t xml:space="preserve"> rising </w:t>
      </w:r>
      <w:r w:rsidR="00107199" w:rsidRPr="001C1754">
        <w:rPr>
          <w:rFonts w:ascii="Aptos" w:hAnsi="Aptos" w:cs="Arial"/>
        </w:rPr>
        <w:t>from</w:t>
      </w:r>
      <w:r w:rsidRPr="001C1754">
        <w:rPr>
          <w:rFonts w:ascii="Aptos" w:hAnsi="Aptos" w:cs="Arial"/>
        </w:rPr>
        <w:t xml:space="preserve"> </w:t>
      </w:r>
      <w:r w:rsidR="00771B4C" w:rsidRPr="001C1754">
        <w:rPr>
          <w:rFonts w:ascii="Aptos" w:hAnsi="Aptos" w:cs="Arial"/>
        </w:rPr>
        <w:t>2</w:t>
      </w:r>
      <w:r w:rsidR="00107199" w:rsidRPr="001C1754">
        <w:rPr>
          <w:rFonts w:ascii="Aptos" w:hAnsi="Aptos" w:cs="Arial"/>
        </w:rPr>
        <w:t>5%</w:t>
      </w:r>
      <w:r w:rsidRPr="001C1754">
        <w:rPr>
          <w:rFonts w:ascii="Aptos" w:hAnsi="Aptos" w:cs="Arial"/>
        </w:rPr>
        <w:t xml:space="preserve"> in 202</w:t>
      </w:r>
      <w:r w:rsidR="00107199" w:rsidRPr="001C1754">
        <w:rPr>
          <w:rFonts w:ascii="Aptos" w:hAnsi="Aptos" w:cs="Arial"/>
        </w:rPr>
        <w:t>4</w:t>
      </w:r>
      <w:r w:rsidR="00771B4C" w:rsidRPr="001C1754">
        <w:rPr>
          <w:rFonts w:ascii="Aptos" w:hAnsi="Aptos" w:cs="Arial"/>
        </w:rPr>
        <w:t xml:space="preserve"> to 26% in 2025</w:t>
      </w:r>
      <w:r w:rsidR="00107199" w:rsidRPr="001C1754">
        <w:rPr>
          <w:rFonts w:ascii="Aptos" w:hAnsi="Aptos" w:cs="Arial"/>
        </w:rPr>
        <w:t xml:space="preserve">, </w:t>
      </w:r>
      <w:r w:rsidR="00771B4C" w:rsidRPr="001C1754">
        <w:rPr>
          <w:rFonts w:ascii="Aptos" w:hAnsi="Aptos" w:cs="Arial"/>
        </w:rPr>
        <w:t>a</w:t>
      </w:r>
      <w:r w:rsidRPr="001C1754">
        <w:rPr>
          <w:rFonts w:ascii="Aptos" w:hAnsi="Aptos" w:cs="Arial"/>
        </w:rPr>
        <w:t xml:space="preserve"> </w:t>
      </w:r>
      <w:r w:rsidR="00107199" w:rsidRPr="001C1754">
        <w:rPr>
          <w:rFonts w:ascii="Aptos" w:hAnsi="Aptos" w:cs="Arial"/>
        </w:rPr>
        <w:t>percentage increase of 1%</w:t>
      </w:r>
      <w:r w:rsidRPr="001C1754">
        <w:rPr>
          <w:rFonts w:ascii="Aptos" w:hAnsi="Aptos" w:cs="Arial"/>
        </w:rPr>
        <w:t xml:space="preserve">  from the previous year. </w:t>
      </w:r>
    </w:p>
    <w:p w14:paraId="6B1A64CA" w14:textId="77777777" w:rsidR="00A23088" w:rsidRPr="001C1754" w:rsidRDefault="00A23088" w:rsidP="00BF35E9">
      <w:pPr>
        <w:spacing w:after="0" w:line="240" w:lineRule="auto"/>
        <w:rPr>
          <w:rFonts w:ascii="Aptos" w:hAnsi="Aptos" w:cs="Arial"/>
        </w:rPr>
      </w:pPr>
    </w:p>
    <w:p w14:paraId="4F77D1CF" w14:textId="7939117A" w:rsidR="00107199" w:rsidRDefault="00107199" w:rsidP="00BF35E9">
      <w:pPr>
        <w:spacing w:after="0" w:line="240" w:lineRule="auto"/>
        <w:rPr>
          <w:rFonts w:ascii="Aptos" w:hAnsi="Aptos" w:cs="Arial"/>
        </w:rPr>
      </w:pPr>
      <w:r w:rsidRPr="001C1754">
        <w:rPr>
          <w:rFonts w:ascii="Aptos" w:hAnsi="Aptos" w:cs="Arial"/>
        </w:rPr>
        <w:t>In contrast, the reporting rate for staff from white backgrounds has decreased from 20.1% to 17.9% in 2025</w:t>
      </w:r>
    </w:p>
    <w:p w14:paraId="7F6F0AAC" w14:textId="77777777" w:rsidR="00A23088" w:rsidRPr="001C1754" w:rsidRDefault="00A23088" w:rsidP="00BF35E9">
      <w:pPr>
        <w:spacing w:after="0" w:line="240" w:lineRule="auto"/>
        <w:rPr>
          <w:rFonts w:ascii="Aptos" w:hAnsi="Aptos" w:cs="Arial"/>
        </w:rPr>
      </w:pPr>
    </w:p>
    <w:p w14:paraId="0BDACF66" w14:textId="321BF64B" w:rsidR="00FF64D5" w:rsidRDefault="00FF64D5" w:rsidP="00BF35E9">
      <w:pPr>
        <w:spacing w:after="0" w:line="240" w:lineRule="auto"/>
        <w:rPr>
          <w:rFonts w:ascii="Aptos" w:hAnsi="Aptos" w:cs="Arial"/>
        </w:rPr>
      </w:pPr>
      <w:r w:rsidRPr="001C1754">
        <w:rPr>
          <w:rFonts w:ascii="Aptos" w:hAnsi="Aptos" w:cs="Arial"/>
        </w:rPr>
        <w:t xml:space="preserve">Staff from </w:t>
      </w:r>
      <w:r w:rsidR="00107199" w:rsidRPr="001C1754">
        <w:rPr>
          <w:rFonts w:ascii="Aptos" w:hAnsi="Aptos" w:cs="Arial"/>
        </w:rPr>
        <w:t xml:space="preserve">BME </w:t>
      </w:r>
      <w:r w:rsidRPr="001C1754">
        <w:rPr>
          <w:rFonts w:ascii="Aptos" w:hAnsi="Aptos" w:cs="Arial"/>
        </w:rPr>
        <w:t xml:space="preserve">backgrounds accounted for </w:t>
      </w:r>
      <w:r w:rsidR="00107199" w:rsidRPr="001C1754">
        <w:rPr>
          <w:rFonts w:ascii="Aptos" w:hAnsi="Aptos" w:cs="Arial"/>
        </w:rPr>
        <w:t xml:space="preserve"> </w:t>
      </w:r>
      <w:r w:rsidR="00803FAE">
        <w:rPr>
          <w:rFonts w:ascii="Aptos" w:hAnsi="Aptos" w:cs="Arial"/>
        </w:rPr>
        <w:t xml:space="preserve">39.93% </w:t>
      </w:r>
      <w:r w:rsidRPr="001C1754">
        <w:rPr>
          <w:rFonts w:ascii="Aptos" w:hAnsi="Aptos" w:cs="Arial"/>
        </w:rPr>
        <w:t xml:space="preserve">of </w:t>
      </w:r>
      <w:r w:rsidR="00803FAE">
        <w:rPr>
          <w:rFonts w:ascii="Aptos" w:hAnsi="Aptos" w:cs="Arial"/>
        </w:rPr>
        <w:t xml:space="preserve">respondents for the 2024 staff survey. </w:t>
      </w:r>
      <w:r w:rsidRPr="001C1754">
        <w:rPr>
          <w:rFonts w:ascii="Aptos" w:hAnsi="Aptos" w:cs="Arial"/>
        </w:rPr>
        <w:t>surveys in 2024</w:t>
      </w:r>
    </w:p>
    <w:p w14:paraId="0E54BA99" w14:textId="77777777" w:rsidR="00803FAE" w:rsidRDefault="00803FAE" w:rsidP="001C1754">
      <w:pPr>
        <w:spacing w:after="0" w:line="240" w:lineRule="auto"/>
        <w:jc w:val="both"/>
        <w:rPr>
          <w:rFonts w:ascii="Aptos" w:hAnsi="Aptos" w:cs="Arial"/>
        </w:rPr>
      </w:pPr>
    </w:p>
    <w:p w14:paraId="729F33A4" w14:textId="77777777" w:rsidR="00803FAE" w:rsidRDefault="00803FAE" w:rsidP="001C1754">
      <w:pPr>
        <w:spacing w:after="0" w:line="240" w:lineRule="auto"/>
        <w:jc w:val="both"/>
        <w:rPr>
          <w:rFonts w:ascii="Aptos" w:hAnsi="Aptos" w:cs="Arial"/>
        </w:rPr>
      </w:pPr>
    </w:p>
    <w:p w14:paraId="2441FF34" w14:textId="77777777" w:rsidR="00803FAE" w:rsidRDefault="00803FAE" w:rsidP="001C1754">
      <w:pPr>
        <w:spacing w:after="0" w:line="240" w:lineRule="auto"/>
        <w:jc w:val="both"/>
        <w:rPr>
          <w:rFonts w:ascii="Aptos" w:hAnsi="Aptos" w:cs="Arial"/>
        </w:rPr>
      </w:pPr>
    </w:p>
    <w:p w14:paraId="044D063F" w14:textId="77777777" w:rsidR="00803FAE" w:rsidRDefault="00803FAE" w:rsidP="001C1754">
      <w:pPr>
        <w:spacing w:after="0" w:line="240" w:lineRule="auto"/>
        <w:jc w:val="both"/>
        <w:rPr>
          <w:rFonts w:ascii="Aptos" w:hAnsi="Aptos" w:cs="Arial"/>
        </w:rPr>
      </w:pPr>
    </w:p>
    <w:p w14:paraId="5677F51C" w14:textId="77777777" w:rsidR="00803FAE" w:rsidRDefault="00803FAE" w:rsidP="001C1754">
      <w:pPr>
        <w:spacing w:after="0" w:line="240" w:lineRule="auto"/>
        <w:jc w:val="both"/>
        <w:rPr>
          <w:rFonts w:ascii="Aptos" w:hAnsi="Aptos" w:cs="Arial"/>
        </w:rPr>
      </w:pPr>
    </w:p>
    <w:p w14:paraId="5062C90A" w14:textId="77777777" w:rsidR="00803FAE" w:rsidRDefault="00803FAE" w:rsidP="001C1754">
      <w:pPr>
        <w:spacing w:after="0" w:line="240" w:lineRule="auto"/>
        <w:jc w:val="both"/>
        <w:rPr>
          <w:rFonts w:ascii="Aptos" w:hAnsi="Aptos" w:cs="Arial"/>
        </w:rPr>
      </w:pPr>
    </w:p>
    <w:p w14:paraId="3ACBF90C" w14:textId="77777777" w:rsidR="00803FAE" w:rsidRDefault="00803FAE" w:rsidP="001C1754">
      <w:pPr>
        <w:spacing w:after="0" w:line="240" w:lineRule="auto"/>
        <w:jc w:val="both"/>
        <w:rPr>
          <w:rFonts w:ascii="Aptos" w:hAnsi="Aptos" w:cs="Arial"/>
        </w:rPr>
      </w:pPr>
    </w:p>
    <w:p w14:paraId="3AD248C2" w14:textId="77777777" w:rsidR="00803FAE" w:rsidRDefault="00803FAE" w:rsidP="001C1754">
      <w:pPr>
        <w:spacing w:after="0" w:line="240" w:lineRule="auto"/>
        <w:jc w:val="both"/>
        <w:rPr>
          <w:rFonts w:ascii="Aptos" w:hAnsi="Aptos" w:cs="Arial"/>
        </w:rPr>
      </w:pPr>
    </w:p>
    <w:p w14:paraId="6EAF50E0" w14:textId="77777777" w:rsidR="00803FAE" w:rsidRDefault="00803FAE" w:rsidP="001C1754">
      <w:pPr>
        <w:spacing w:after="0" w:line="240" w:lineRule="auto"/>
        <w:jc w:val="both"/>
        <w:rPr>
          <w:rFonts w:ascii="Aptos" w:hAnsi="Aptos" w:cs="Arial"/>
        </w:rPr>
      </w:pPr>
    </w:p>
    <w:p w14:paraId="5360D10E" w14:textId="77777777" w:rsidR="00803FAE" w:rsidRDefault="00803FAE" w:rsidP="001C1754">
      <w:pPr>
        <w:spacing w:after="0" w:line="240" w:lineRule="auto"/>
        <w:jc w:val="both"/>
        <w:rPr>
          <w:rFonts w:ascii="Aptos" w:hAnsi="Aptos" w:cs="Arial"/>
        </w:rPr>
      </w:pPr>
    </w:p>
    <w:p w14:paraId="62A254CC" w14:textId="77777777" w:rsidR="00803FAE" w:rsidRDefault="00803FAE" w:rsidP="001C1754">
      <w:pPr>
        <w:spacing w:after="0" w:line="240" w:lineRule="auto"/>
        <w:jc w:val="both"/>
        <w:rPr>
          <w:rFonts w:ascii="Aptos" w:hAnsi="Aptos" w:cs="Arial"/>
        </w:rPr>
      </w:pPr>
    </w:p>
    <w:p w14:paraId="6BE6415A" w14:textId="77777777" w:rsidR="001009AE" w:rsidRDefault="001009AE" w:rsidP="001C1754">
      <w:pPr>
        <w:spacing w:after="0" w:line="240" w:lineRule="auto"/>
        <w:jc w:val="both"/>
        <w:rPr>
          <w:rFonts w:ascii="Aptos" w:hAnsi="Aptos" w:cs="Arial"/>
        </w:rPr>
      </w:pPr>
    </w:p>
    <w:p w14:paraId="790A0175" w14:textId="77777777" w:rsidR="00A23088" w:rsidRPr="001C1754" w:rsidRDefault="00A23088" w:rsidP="001C1754">
      <w:pPr>
        <w:spacing w:after="0" w:line="240" w:lineRule="auto"/>
        <w:jc w:val="both"/>
        <w:rPr>
          <w:rFonts w:ascii="Aptos" w:hAnsi="Aptos" w:cs="Arial"/>
        </w:rPr>
      </w:pPr>
    </w:p>
    <w:p w14:paraId="61929389" w14:textId="77777777" w:rsidR="001009AE" w:rsidRDefault="001009AE" w:rsidP="001C1754">
      <w:pPr>
        <w:spacing w:after="0" w:line="240" w:lineRule="auto"/>
        <w:jc w:val="both"/>
        <w:rPr>
          <w:rFonts w:ascii="Aptos" w:hAnsi="Aptos" w:cs="Arial"/>
        </w:rPr>
      </w:pPr>
      <w:bookmarkStart w:id="12" w:name="_Hlk195540204"/>
    </w:p>
    <w:p w14:paraId="6B85EBFC" w14:textId="77777777" w:rsidR="001009AE" w:rsidRDefault="001009AE" w:rsidP="001C1754">
      <w:pPr>
        <w:spacing w:after="0" w:line="240" w:lineRule="auto"/>
        <w:jc w:val="both"/>
        <w:rPr>
          <w:rFonts w:ascii="Aptos" w:hAnsi="Aptos" w:cs="Arial"/>
        </w:rPr>
      </w:pPr>
    </w:p>
    <w:p w14:paraId="4C5713E1" w14:textId="4F32D0ED" w:rsidR="00FE453B" w:rsidRPr="001C1754" w:rsidRDefault="00FF64D5" w:rsidP="001C1754">
      <w:pPr>
        <w:spacing w:after="0" w:line="240" w:lineRule="auto"/>
        <w:jc w:val="both"/>
        <w:rPr>
          <w:rFonts w:ascii="Aptos" w:hAnsi="Aptos" w:cs="Arial"/>
        </w:rPr>
      </w:pPr>
      <w:r w:rsidRPr="001C1754">
        <w:rPr>
          <w:rFonts w:ascii="Aptos" w:hAnsi="Aptos" w:cs="Arial"/>
        </w:rPr>
        <w:t xml:space="preserve">Table </w:t>
      </w:r>
      <w:r w:rsidR="00F227DB" w:rsidRPr="001C1754">
        <w:rPr>
          <w:rFonts w:ascii="Aptos" w:hAnsi="Aptos" w:cs="Arial"/>
        </w:rPr>
        <w:t>5.0</w:t>
      </w:r>
      <w:r w:rsidRPr="001C1754">
        <w:rPr>
          <w:rFonts w:ascii="Aptos" w:hAnsi="Aptos" w:cs="Arial"/>
        </w:rPr>
        <w:t>: Workforce Race Equality Data for Metric 5 from 2020 to 2024.</w:t>
      </w:r>
    </w:p>
    <w:p w14:paraId="74534ECC" w14:textId="5CC09A27" w:rsidR="00FE453B" w:rsidRPr="001C1754" w:rsidRDefault="00FE453B" w:rsidP="001C1754">
      <w:pPr>
        <w:spacing w:after="0" w:line="240" w:lineRule="auto"/>
        <w:jc w:val="both"/>
        <w:rPr>
          <w:rFonts w:ascii="Aptos" w:hAnsi="Aptos" w:cs="Arial"/>
        </w:rPr>
      </w:pPr>
      <w:r w:rsidRPr="001C1754">
        <w:rPr>
          <w:rFonts w:ascii="Aptos" w:hAnsi="Aptos" w:cs="Arial"/>
          <w:noProof/>
        </w:rPr>
        <w:drawing>
          <wp:inline distT="0" distB="0" distL="0" distR="0" wp14:anchorId="63E6B038" wp14:editId="706DB8FA">
            <wp:extent cx="5731510" cy="2056399"/>
            <wp:effectExtent l="0" t="0" r="2540" b="1270"/>
            <wp:docPr id="6" name="Picture 5" descr="Table 5.0: The percentage of staff from ethnically diverse backgrounds reporting harassment, bullying, or abuse from patients, relatives or public in the past 12 months has increased slightly among staff from Black and Minority Ethnic backgrounds, rising from 25% in 2024 to 26% in 2025">
              <a:extLst xmlns:a="http://schemas.openxmlformats.org/drawingml/2006/main">
                <a:ext uri="{FF2B5EF4-FFF2-40B4-BE49-F238E27FC236}">
                  <a16:creationId xmlns:a16="http://schemas.microsoft.com/office/drawing/2014/main" id="{19C62E7B-EFEF-D766-4772-8C821FE16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 5.0: The percentage of staff from ethnically diverse backgrounds reporting harassment, bullying, or abuse from patients, relatives or public in the past 12 months has increased slightly among staff from Black and Minority Ethnic backgrounds, rising from 25% in 2024 to 26% in 2025">
                      <a:extLst>
                        <a:ext uri="{FF2B5EF4-FFF2-40B4-BE49-F238E27FC236}">
                          <a16:creationId xmlns:a16="http://schemas.microsoft.com/office/drawing/2014/main" id="{19C62E7B-EFEF-D766-4772-8C821FE16164}"/>
                        </a:ext>
                      </a:extLst>
                    </pic:cNvPr>
                    <pic:cNvPicPr>
                      <a:picLocks noChangeAspect="1"/>
                    </pic:cNvPicPr>
                  </pic:nvPicPr>
                  <pic:blipFill>
                    <a:blip r:embed="rId18"/>
                    <a:stretch>
                      <a:fillRect/>
                    </a:stretch>
                  </pic:blipFill>
                  <pic:spPr>
                    <a:xfrm>
                      <a:off x="0" y="0"/>
                      <a:ext cx="5731510" cy="2056399"/>
                    </a:xfrm>
                    <a:prstGeom prst="rect">
                      <a:avLst/>
                    </a:prstGeom>
                  </pic:spPr>
                </pic:pic>
              </a:graphicData>
            </a:graphic>
          </wp:inline>
        </w:drawing>
      </w:r>
    </w:p>
    <w:tbl>
      <w:tblPr>
        <w:tblW w:w="7760" w:type="dxa"/>
        <w:tblLook w:val="04A0" w:firstRow="1" w:lastRow="0" w:firstColumn="1" w:lastColumn="0" w:noHBand="0" w:noVBand="1"/>
      </w:tblPr>
      <w:tblGrid>
        <w:gridCol w:w="2960"/>
        <w:gridCol w:w="960"/>
        <w:gridCol w:w="960"/>
        <w:gridCol w:w="960"/>
        <w:gridCol w:w="960"/>
        <w:gridCol w:w="960"/>
      </w:tblGrid>
      <w:tr w:rsidR="00FE453B" w:rsidRPr="001C1754" w14:paraId="727DC135" w14:textId="77777777" w:rsidTr="00FE453B">
        <w:trPr>
          <w:trHeight w:val="290"/>
        </w:trPr>
        <w:tc>
          <w:tcPr>
            <w:tcW w:w="2960" w:type="dxa"/>
            <w:tcBorders>
              <w:top w:val="single" w:sz="4" w:space="0" w:color="auto"/>
              <w:left w:val="single" w:sz="4" w:space="0" w:color="auto"/>
              <w:bottom w:val="single" w:sz="4" w:space="0" w:color="auto"/>
              <w:right w:val="single" w:sz="4" w:space="0" w:color="auto"/>
            </w:tcBorders>
            <w:noWrap/>
            <w:vAlign w:val="bottom"/>
            <w:hideMark/>
          </w:tcPr>
          <w:p w14:paraId="503E0523" w14:textId="77777777" w:rsidR="00FE453B" w:rsidRPr="001C1754" w:rsidRDefault="00FE453B" w:rsidP="001C1754">
            <w:pPr>
              <w:spacing w:after="0" w:line="240" w:lineRule="auto"/>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7657EBBA" w14:textId="77777777" w:rsidR="00FE453B" w:rsidRPr="001C1754" w:rsidRDefault="00FE453B"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25FB25F9" w14:textId="77777777" w:rsidR="00FE453B" w:rsidRPr="001C1754" w:rsidRDefault="00FE453B"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2021</w:t>
            </w:r>
          </w:p>
        </w:tc>
        <w:tc>
          <w:tcPr>
            <w:tcW w:w="960" w:type="dxa"/>
            <w:tcBorders>
              <w:top w:val="single" w:sz="4" w:space="0" w:color="auto"/>
              <w:left w:val="nil"/>
              <w:bottom w:val="single" w:sz="4" w:space="0" w:color="auto"/>
              <w:right w:val="single" w:sz="4" w:space="0" w:color="auto"/>
            </w:tcBorders>
            <w:noWrap/>
            <w:vAlign w:val="bottom"/>
            <w:hideMark/>
          </w:tcPr>
          <w:p w14:paraId="2EEC8E69" w14:textId="77777777" w:rsidR="00FE453B" w:rsidRPr="001C1754" w:rsidRDefault="00FE453B"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44201A86" w14:textId="77777777" w:rsidR="00FE453B" w:rsidRPr="001C1754" w:rsidRDefault="00FE453B"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1EA6725B" w14:textId="77777777" w:rsidR="00FE453B" w:rsidRPr="001C1754" w:rsidRDefault="00FE453B"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2024</w:t>
            </w:r>
          </w:p>
        </w:tc>
      </w:tr>
      <w:tr w:rsidR="00FE453B" w:rsidRPr="001C1754" w14:paraId="2E1E96DC" w14:textId="77777777" w:rsidTr="00FE453B">
        <w:trPr>
          <w:trHeight w:val="290"/>
        </w:trPr>
        <w:tc>
          <w:tcPr>
            <w:tcW w:w="2960" w:type="dxa"/>
            <w:tcBorders>
              <w:top w:val="nil"/>
              <w:left w:val="single" w:sz="4" w:space="0" w:color="auto"/>
              <w:bottom w:val="single" w:sz="4" w:space="0" w:color="auto"/>
              <w:right w:val="single" w:sz="4" w:space="0" w:color="auto"/>
            </w:tcBorders>
            <w:noWrap/>
            <w:vAlign w:val="bottom"/>
            <w:hideMark/>
          </w:tcPr>
          <w:p w14:paraId="5D69F847" w14:textId="77777777" w:rsidR="00FE453B" w:rsidRPr="001C1754" w:rsidRDefault="00FE453B"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SWB</w:t>
            </w:r>
          </w:p>
        </w:tc>
        <w:tc>
          <w:tcPr>
            <w:tcW w:w="960" w:type="dxa"/>
            <w:tcBorders>
              <w:top w:val="nil"/>
              <w:left w:val="nil"/>
              <w:bottom w:val="single" w:sz="4" w:space="0" w:color="auto"/>
              <w:right w:val="single" w:sz="4" w:space="0" w:color="auto"/>
            </w:tcBorders>
            <w:noWrap/>
            <w:vAlign w:val="bottom"/>
            <w:hideMark/>
          </w:tcPr>
          <w:p w14:paraId="45669688"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27.36%</w:t>
            </w:r>
          </w:p>
        </w:tc>
        <w:tc>
          <w:tcPr>
            <w:tcW w:w="960" w:type="dxa"/>
            <w:tcBorders>
              <w:top w:val="nil"/>
              <w:left w:val="nil"/>
              <w:bottom w:val="single" w:sz="4" w:space="0" w:color="auto"/>
              <w:right w:val="single" w:sz="4" w:space="0" w:color="auto"/>
            </w:tcBorders>
            <w:noWrap/>
            <w:vAlign w:val="bottom"/>
            <w:hideMark/>
          </w:tcPr>
          <w:p w14:paraId="0BA9B7FA"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30.69%</w:t>
            </w:r>
          </w:p>
        </w:tc>
        <w:tc>
          <w:tcPr>
            <w:tcW w:w="960" w:type="dxa"/>
            <w:tcBorders>
              <w:top w:val="nil"/>
              <w:left w:val="nil"/>
              <w:bottom w:val="single" w:sz="4" w:space="0" w:color="auto"/>
              <w:right w:val="single" w:sz="4" w:space="0" w:color="auto"/>
            </w:tcBorders>
            <w:noWrap/>
            <w:vAlign w:val="bottom"/>
            <w:hideMark/>
          </w:tcPr>
          <w:p w14:paraId="090399C3"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27.99%</w:t>
            </w:r>
          </w:p>
        </w:tc>
        <w:tc>
          <w:tcPr>
            <w:tcW w:w="960" w:type="dxa"/>
            <w:tcBorders>
              <w:top w:val="nil"/>
              <w:left w:val="nil"/>
              <w:bottom w:val="single" w:sz="4" w:space="0" w:color="auto"/>
              <w:right w:val="single" w:sz="4" w:space="0" w:color="auto"/>
            </w:tcBorders>
            <w:noWrap/>
            <w:vAlign w:val="bottom"/>
            <w:hideMark/>
          </w:tcPr>
          <w:p w14:paraId="6A2E7A32"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20.10%</w:t>
            </w:r>
          </w:p>
        </w:tc>
        <w:tc>
          <w:tcPr>
            <w:tcW w:w="960" w:type="dxa"/>
            <w:tcBorders>
              <w:top w:val="nil"/>
              <w:left w:val="nil"/>
              <w:bottom w:val="single" w:sz="4" w:space="0" w:color="auto"/>
              <w:right w:val="single" w:sz="4" w:space="0" w:color="auto"/>
            </w:tcBorders>
            <w:noWrap/>
            <w:vAlign w:val="bottom"/>
            <w:hideMark/>
          </w:tcPr>
          <w:p w14:paraId="1412BE63"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17.92%</w:t>
            </w:r>
          </w:p>
        </w:tc>
      </w:tr>
      <w:tr w:rsidR="00FE453B" w:rsidRPr="001C1754" w14:paraId="6C920043" w14:textId="77777777" w:rsidTr="00FE453B">
        <w:trPr>
          <w:trHeight w:val="290"/>
        </w:trPr>
        <w:tc>
          <w:tcPr>
            <w:tcW w:w="2960" w:type="dxa"/>
            <w:tcBorders>
              <w:top w:val="nil"/>
              <w:left w:val="single" w:sz="4" w:space="0" w:color="auto"/>
              <w:bottom w:val="single" w:sz="4" w:space="0" w:color="auto"/>
              <w:right w:val="single" w:sz="4" w:space="0" w:color="auto"/>
            </w:tcBorders>
            <w:noWrap/>
            <w:vAlign w:val="bottom"/>
            <w:hideMark/>
          </w:tcPr>
          <w:p w14:paraId="668E46EB" w14:textId="77777777" w:rsidR="00FE453B" w:rsidRPr="001C1754" w:rsidRDefault="00FE453B"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All other ethnic groups SWB</w:t>
            </w:r>
          </w:p>
        </w:tc>
        <w:tc>
          <w:tcPr>
            <w:tcW w:w="960" w:type="dxa"/>
            <w:tcBorders>
              <w:top w:val="nil"/>
              <w:left w:val="nil"/>
              <w:bottom w:val="single" w:sz="4" w:space="0" w:color="auto"/>
              <w:right w:val="single" w:sz="4" w:space="0" w:color="auto"/>
            </w:tcBorders>
            <w:noWrap/>
            <w:vAlign w:val="bottom"/>
            <w:hideMark/>
          </w:tcPr>
          <w:p w14:paraId="7B438CC5"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27.16%</w:t>
            </w:r>
          </w:p>
        </w:tc>
        <w:tc>
          <w:tcPr>
            <w:tcW w:w="960" w:type="dxa"/>
            <w:tcBorders>
              <w:top w:val="nil"/>
              <w:left w:val="nil"/>
              <w:bottom w:val="single" w:sz="4" w:space="0" w:color="auto"/>
              <w:right w:val="single" w:sz="4" w:space="0" w:color="auto"/>
            </w:tcBorders>
            <w:noWrap/>
            <w:vAlign w:val="bottom"/>
            <w:hideMark/>
          </w:tcPr>
          <w:p w14:paraId="697C54E1"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29.15%</w:t>
            </w:r>
          </w:p>
        </w:tc>
        <w:tc>
          <w:tcPr>
            <w:tcW w:w="960" w:type="dxa"/>
            <w:tcBorders>
              <w:top w:val="nil"/>
              <w:left w:val="nil"/>
              <w:bottom w:val="single" w:sz="4" w:space="0" w:color="auto"/>
              <w:right w:val="single" w:sz="4" w:space="0" w:color="auto"/>
            </w:tcBorders>
            <w:noWrap/>
            <w:vAlign w:val="bottom"/>
            <w:hideMark/>
          </w:tcPr>
          <w:p w14:paraId="61D12A8E"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31.92%</w:t>
            </w:r>
          </w:p>
        </w:tc>
        <w:tc>
          <w:tcPr>
            <w:tcW w:w="960" w:type="dxa"/>
            <w:tcBorders>
              <w:top w:val="nil"/>
              <w:left w:val="nil"/>
              <w:bottom w:val="single" w:sz="4" w:space="0" w:color="auto"/>
              <w:right w:val="single" w:sz="4" w:space="0" w:color="auto"/>
            </w:tcBorders>
            <w:noWrap/>
            <w:vAlign w:val="bottom"/>
            <w:hideMark/>
          </w:tcPr>
          <w:p w14:paraId="305A7C3A"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25.00%</w:t>
            </w:r>
          </w:p>
        </w:tc>
        <w:tc>
          <w:tcPr>
            <w:tcW w:w="960" w:type="dxa"/>
            <w:tcBorders>
              <w:top w:val="nil"/>
              <w:left w:val="nil"/>
              <w:bottom w:val="single" w:sz="4" w:space="0" w:color="auto"/>
              <w:right w:val="single" w:sz="4" w:space="0" w:color="auto"/>
            </w:tcBorders>
            <w:noWrap/>
            <w:vAlign w:val="bottom"/>
            <w:hideMark/>
          </w:tcPr>
          <w:p w14:paraId="1A5C9377"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26.01%</w:t>
            </w:r>
          </w:p>
        </w:tc>
      </w:tr>
      <w:tr w:rsidR="00FE453B" w:rsidRPr="001C1754" w14:paraId="37503D3E" w14:textId="77777777" w:rsidTr="00FE453B">
        <w:trPr>
          <w:trHeight w:val="290"/>
        </w:trPr>
        <w:tc>
          <w:tcPr>
            <w:tcW w:w="2960" w:type="dxa"/>
            <w:tcBorders>
              <w:top w:val="nil"/>
              <w:left w:val="single" w:sz="4" w:space="0" w:color="auto"/>
              <w:bottom w:val="single" w:sz="4" w:space="0" w:color="auto"/>
              <w:right w:val="single" w:sz="4" w:space="0" w:color="auto"/>
            </w:tcBorders>
            <w:noWrap/>
            <w:vAlign w:val="bottom"/>
            <w:hideMark/>
          </w:tcPr>
          <w:p w14:paraId="382107D8" w14:textId="77777777" w:rsidR="00FE453B" w:rsidRPr="001C1754" w:rsidRDefault="00FE453B"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average</w:t>
            </w:r>
          </w:p>
        </w:tc>
        <w:tc>
          <w:tcPr>
            <w:tcW w:w="960" w:type="dxa"/>
            <w:tcBorders>
              <w:top w:val="nil"/>
              <w:left w:val="nil"/>
              <w:bottom w:val="single" w:sz="4" w:space="0" w:color="auto"/>
              <w:right w:val="single" w:sz="4" w:space="0" w:color="auto"/>
            </w:tcBorders>
            <w:noWrap/>
            <w:vAlign w:val="bottom"/>
            <w:hideMark/>
          </w:tcPr>
          <w:p w14:paraId="6636CCE6"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25.36%</w:t>
            </w:r>
          </w:p>
        </w:tc>
        <w:tc>
          <w:tcPr>
            <w:tcW w:w="960" w:type="dxa"/>
            <w:tcBorders>
              <w:top w:val="nil"/>
              <w:left w:val="nil"/>
              <w:bottom w:val="single" w:sz="4" w:space="0" w:color="auto"/>
              <w:right w:val="single" w:sz="4" w:space="0" w:color="auto"/>
            </w:tcBorders>
            <w:noWrap/>
            <w:vAlign w:val="bottom"/>
            <w:hideMark/>
          </w:tcPr>
          <w:p w14:paraId="5F5F6ED1"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26.47%</w:t>
            </w:r>
          </w:p>
        </w:tc>
        <w:tc>
          <w:tcPr>
            <w:tcW w:w="960" w:type="dxa"/>
            <w:tcBorders>
              <w:top w:val="nil"/>
              <w:left w:val="nil"/>
              <w:bottom w:val="single" w:sz="4" w:space="0" w:color="auto"/>
              <w:right w:val="single" w:sz="4" w:space="0" w:color="auto"/>
            </w:tcBorders>
            <w:noWrap/>
            <w:vAlign w:val="bottom"/>
            <w:hideMark/>
          </w:tcPr>
          <w:p w14:paraId="6B2B2AE7"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26.91%</w:t>
            </w:r>
          </w:p>
        </w:tc>
        <w:tc>
          <w:tcPr>
            <w:tcW w:w="960" w:type="dxa"/>
            <w:tcBorders>
              <w:top w:val="nil"/>
              <w:left w:val="nil"/>
              <w:bottom w:val="single" w:sz="4" w:space="0" w:color="auto"/>
              <w:right w:val="single" w:sz="4" w:space="0" w:color="auto"/>
            </w:tcBorders>
            <w:noWrap/>
            <w:vAlign w:val="bottom"/>
            <w:hideMark/>
          </w:tcPr>
          <w:p w14:paraId="7219DE18"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24.05%</w:t>
            </w:r>
          </w:p>
        </w:tc>
        <w:tc>
          <w:tcPr>
            <w:tcW w:w="960" w:type="dxa"/>
            <w:tcBorders>
              <w:top w:val="nil"/>
              <w:left w:val="nil"/>
              <w:bottom w:val="single" w:sz="4" w:space="0" w:color="auto"/>
              <w:right w:val="single" w:sz="4" w:space="0" w:color="auto"/>
            </w:tcBorders>
            <w:noWrap/>
            <w:vAlign w:val="bottom"/>
            <w:hideMark/>
          </w:tcPr>
          <w:p w14:paraId="656A3A6C"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23.21%</w:t>
            </w:r>
          </w:p>
        </w:tc>
      </w:tr>
      <w:tr w:rsidR="00FE453B" w:rsidRPr="001C1754" w14:paraId="644947E6" w14:textId="77777777" w:rsidTr="00FE453B">
        <w:trPr>
          <w:trHeight w:val="290"/>
        </w:trPr>
        <w:tc>
          <w:tcPr>
            <w:tcW w:w="2960" w:type="dxa"/>
            <w:tcBorders>
              <w:top w:val="nil"/>
              <w:left w:val="single" w:sz="4" w:space="0" w:color="auto"/>
              <w:bottom w:val="single" w:sz="4" w:space="0" w:color="auto"/>
              <w:right w:val="single" w:sz="4" w:space="0" w:color="auto"/>
            </w:tcBorders>
            <w:noWrap/>
            <w:vAlign w:val="bottom"/>
            <w:hideMark/>
          </w:tcPr>
          <w:p w14:paraId="1C4A3E9B" w14:textId="5991D3A0" w:rsidR="00FE453B" w:rsidRPr="001C1754" w:rsidRDefault="00FE453B"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 xml:space="preserve">All other ethnic </w:t>
            </w:r>
            <w:r w:rsidR="00403DC5" w:rsidRPr="001C1754">
              <w:rPr>
                <w:rFonts w:ascii="Aptos" w:eastAsia="Times New Roman" w:hAnsi="Aptos" w:cs="Arial"/>
                <w:color w:val="000000"/>
                <w:kern w:val="0"/>
                <w:sz w:val="22"/>
                <w:szCs w:val="22"/>
                <w:lang w:eastAsia="en-GB"/>
                <w14:ligatures w14:val="none"/>
              </w:rPr>
              <w:t>groups'</w:t>
            </w:r>
            <w:r w:rsidRPr="001C1754">
              <w:rPr>
                <w:rFonts w:ascii="Aptos" w:eastAsia="Times New Roman" w:hAnsi="Aptos" w:cs="Arial"/>
                <w:color w:val="000000"/>
                <w:kern w:val="0"/>
                <w:sz w:val="22"/>
                <w:szCs w:val="22"/>
                <w:lang w:eastAsia="en-GB"/>
                <w14:ligatures w14:val="none"/>
              </w:rPr>
              <w:t xml:space="preserve"> average</w:t>
            </w:r>
          </w:p>
        </w:tc>
        <w:tc>
          <w:tcPr>
            <w:tcW w:w="960" w:type="dxa"/>
            <w:tcBorders>
              <w:top w:val="nil"/>
              <w:left w:val="nil"/>
              <w:bottom w:val="single" w:sz="4" w:space="0" w:color="auto"/>
              <w:right w:val="single" w:sz="4" w:space="0" w:color="auto"/>
            </w:tcBorders>
            <w:noWrap/>
            <w:vAlign w:val="bottom"/>
            <w:hideMark/>
          </w:tcPr>
          <w:p w14:paraId="675073EF"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28.01%</w:t>
            </w:r>
          </w:p>
        </w:tc>
        <w:tc>
          <w:tcPr>
            <w:tcW w:w="960" w:type="dxa"/>
            <w:tcBorders>
              <w:top w:val="nil"/>
              <w:left w:val="nil"/>
              <w:bottom w:val="single" w:sz="4" w:space="0" w:color="auto"/>
              <w:right w:val="single" w:sz="4" w:space="0" w:color="auto"/>
            </w:tcBorders>
            <w:noWrap/>
            <w:vAlign w:val="bottom"/>
            <w:hideMark/>
          </w:tcPr>
          <w:p w14:paraId="147C7770"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28.84%</w:t>
            </w:r>
          </w:p>
        </w:tc>
        <w:tc>
          <w:tcPr>
            <w:tcW w:w="960" w:type="dxa"/>
            <w:tcBorders>
              <w:top w:val="nil"/>
              <w:left w:val="nil"/>
              <w:bottom w:val="single" w:sz="4" w:space="0" w:color="auto"/>
              <w:right w:val="single" w:sz="4" w:space="0" w:color="auto"/>
            </w:tcBorders>
            <w:noWrap/>
            <w:vAlign w:val="bottom"/>
            <w:hideMark/>
          </w:tcPr>
          <w:p w14:paraId="05FEAE7A"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30.82%</w:t>
            </w:r>
          </w:p>
        </w:tc>
        <w:tc>
          <w:tcPr>
            <w:tcW w:w="960" w:type="dxa"/>
            <w:tcBorders>
              <w:top w:val="nil"/>
              <w:left w:val="nil"/>
              <w:bottom w:val="single" w:sz="4" w:space="0" w:color="auto"/>
              <w:right w:val="single" w:sz="4" w:space="0" w:color="auto"/>
            </w:tcBorders>
            <w:noWrap/>
            <w:vAlign w:val="bottom"/>
            <w:hideMark/>
          </w:tcPr>
          <w:p w14:paraId="167826EF"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27.34%</w:t>
            </w:r>
          </w:p>
        </w:tc>
        <w:tc>
          <w:tcPr>
            <w:tcW w:w="960" w:type="dxa"/>
            <w:tcBorders>
              <w:top w:val="nil"/>
              <w:left w:val="nil"/>
              <w:bottom w:val="single" w:sz="4" w:space="0" w:color="auto"/>
              <w:right w:val="single" w:sz="4" w:space="0" w:color="auto"/>
            </w:tcBorders>
            <w:noWrap/>
            <w:vAlign w:val="bottom"/>
            <w:hideMark/>
          </w:tcPr>
          <w:p w14:paraId="1A7A6389"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28.27%</w:t>
            </w:r>
          </w:p>
        </w:tc>
      </w:tr>
      <w:tr w:rsidR="00FE453B" w:rsidRPr="001C1754" w14:paraId="1DA4F45A" w14:textId="77777777" w:rsidTr="00FE453B">
        <w:trPr>
          <w:trHeight w:val="290"/>
        </w:trPr>
        <w:tc>
          <w:tcPr>
            <w:tcW w:w="2960" w:type="dxa"/>
            <w:tcBorders>
              <w:top w:val="nil"/>
              <w:left w:val="single" w:sz="4" w:space="0" w:color="auto"/>
              <w:bottom w:val="single" w:sz="4" w:space="0" w:color="auto"/>
              <w:right w:val="single" w:sz="4" w:space="0" w:color="auto"/>
            </w:tcBorders>
            <w:noWrap/>
            <w:vAlign w:val="bottom"/>
            <w:hideMark/>
          </w:tcPr>
          <w:p w14:paraId="6A58272E" w14:textId="77777777" w:rsidR="00FE453B" w:rsidRPr="001C1754" w:rsidRDefault="00FE453B"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responses</w:t>
            </w:r>
          </w:p>
        </w:tc>
        <w:tc>
          <w:tcPr>
            <w:tcW w:w="960" w:type="dxa"/>
            <w:tcBorders>
              <w:top w:val="nil"/>
              <w:left w:val="nil"/>
              <w:bottom w:val="single" w:sz="4" w:space="0" w:color="auto"/>
              <w:right w:val="single" w:sz="4" w:space="0" w:color="auto"/>
            </w:tcBorders>
            <w:noWrap/>
            <w:vAlign w:val="bottom"/>
            <w:hideMark/>
          </w:tcPr>
          <w:p w14:paraId="52E40DBD"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1389</w:t>
            </w:r>
          </w:p>
        </w:tc>
        <w:tc>
          <w:tcPr>
            <w:tcW w:w="960" w:type="dxa"/>
            <w:tcBorders>
              <w:top w:val="nil"/>
              <w:left w:val="nil"/>
              <w:bottom w:val="single" w:sz="4" w:space="0" w:color="auto"/>
              <w:right w:val="single" w:sz="4" w:space="0" w:color="auto"/>
            </w:tcBorders>
            <w:noWrap/>
            <w:vAlign w:val="bottom"/>
            <w:hideMark/>
          </w:tcPr>
          <w:p w14:paraId="11EFF96F"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1603</w:t>
            </w:r>
          </w:p>
        </w:tc>
        <w:tc>
          <w:tcPr>
            <w:tcW w:w="960" w:type="dxa"/>
            <w:tcBorders>
              <w:top w:val="nil"/>
              <w:left w:val="nil"/>
              <w:bottom w:val="single" w:sz="4" w:space="0" w:color="auto"/>
              <w:right w:val="single" w:sz="4" w:space="0" w:color="auto"/>
            </w:tcBorders>
            <w:noWrap/>
            <w:vAlign w:val="bottom"/>
            <w:hideMark/>
          </w:tcPr>
          <w:p w14:paraId="3E40CEC6"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1561</w:t>
            </w:r>
          </w:p>
        </w:tc>
        <w:tc>
          <w:tcPr>
            <w:tcW w:w="960" w:type="dxa"/>
            <w:tcBorders>
              <w:top w:val="nil"/>
              <w:left w:val="nil"/>
              <w:bottom w:val="single" w:sz="4" w:space="0" w:color="auto"/>
              <w:right w:val="single" w:sz="4" w:space="0" w:color="auto"/>
            </w:tcBorders>
            <w:noWrap/>
            <w:vAlign w:val="bottom"/>
            <w:hideMark/>
          </w:tcPr>
          <w:p w14:paraId="5749454A"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1293</w:t>
            </w:r>
          </w:p>
        </w:tc>
        <w:tc>
          <w:tcPr>
            <w:tcW w:w="960" w:type="dxa"/>
            <w:tcBorders>
              <w:top w:val="nil"/>
              <w:left w:val="nil"/>
              <w:bottom w:val="single" w:sz="4" w:space="0" w:color="auto"/>
              <w:right w:val="single" w:sz="4" w:space="0" w:color="auto"/>
            </w:tcBorders>
            <w:noWrap/>
            <w:vAlign w:val="bottom"/>
            <w:hideMark/>
          </w:tcPr>
          <w:p w14:paraId="30F40D0A"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1574</w:t>
            </w:r>
          </w:p>
        </w:tc>
      </w:tr>
      <w:tr w:rsidR="00FE453B" w:rsidRPr="001C1754" w14:paraId="7EA91DA5" w14:textId="77777777" w:rsidTr="00FE453B">
        <w:trPr>
          <w:trHeight w:val="290"/>
        </w:trPr>
        <w:tc>
          <w:tcPr>
            <w:tcW w:w="2960" w:type="dxa"/>
            <w:tcBorders>
              <w:top w:val="nil"/>
              <w:left w:val="single" w:sz="4" w:space="0" w:color="auto"/>
              <w:bottom w:val="single" w:sz="4" w:space="0" w:color="auto"/>
              <w:right w:val="single" w:sz="4" w:space="0" w:color="auto"/>
            </w:tcBorders>
            <w:noWrap/>
            <w:vAlign w:val="bottom"/>
            <w:hideMark/>
          </w:tcPr>
          <w:p w14:paraId="5C3EF19E" w14:textId="77777777" w:rsidR="00FE453B" w:rsidRPr="001C1754" w:rsidRDefault="00FE453B"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All other ethnic group responses</w:t>
            </w:r>
          </w:p>
        </w:tc>
        <w:tc>
          <w:tcPr>
            <w:tcW w:w="960" w:type="dxa"/>
            <w:tcBorders>
              <w:top w:val="nil"/>
              <w:left w:val="nil"/>
              <w:bottom w:val="single" w:sz="4" w:space="0" w:color="auto"/>
              <w:right w:val="single" w:sz="4" w:space="0" w:color="auto"/>
            </w:tcBorders>
            <w:noWrap/>
            <w:vAlign w:val="bottom"/>
            <w:hideMark/>
          </w:tcPr>
          <w:p w14:paraId="75C81AD4"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751</w:t>
            </w:r>
          </w:p>
        </w:tc>
        <w:tc>
          <w:tcPr>
            <w:tcW w:w="960" w:type="dxa"/>
            <w:tcBorders>
              <w:top w:val="nil"/>
              <w:left w:val="nil"/>
              <w:bottom w:val="single" w:sz="4" w:space="0" w:color="auto"/>
              <w:right w:val="single" w:sz="4" w:space="0" w:color="auto"/>
            </w:tcBorders>
            <w:noWrap/>
            <w:vAlign w:val="bottom"/>
            <w:hideMark/>
          </w:tcPr>
          <w:p w14:paraId="18BA2E74"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1005</w:t>
            </w:r>
          </w:p>
        </w:tc>
        <w:tc>
          <w:tcPr>
            <w:tcW w:w="960" w:type="dxa"/>
            <w:tcBorders>
              <w:top w:val="nil"/>
              <w:left w:val="nil"/>
              <w:bottom w:val="single" w:sz="4" w:space="0" w:color="auto"/>
              <w:right w:val="single" w:sz="4" w:space="0" w:color="auto"/>
            </w:tcBorders>
            <w:noWrap/>
            <w:vAlign w:val="bottom"/>
            <w:hideMark/>
          </w:tcPr>
          <w:p w14:paraId="3994E04C"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1106</w:t>
            </w:r>
          </w:p>
        </w:tc>
        <w:tc>
          <w:tcPr>
            <w:tcW w:w="960" w:type="dxa"/>
            <w:tcBorders>
              <w:top w:val="nil"/>
              <w:left w:val="nil"/>
              <w:bottom w:val="single" w:sz="4" w:space="0" w:color="auto"/>
              <w:right w:val="single" w:sz="4" w:space="0" w:color="auto"/>
            </w:tcBorders>
            <w:noWrap/>
            <w:vAlign w:val="bottom"/>
            <w:hideMark/>
          </w:tcPr>
          <w:p w14:paraId="1F6D9A61"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820</w:t>
            </w:r>
          </w:p>
        </w:tc>
        <w:tc>
          <w:tcPr>
            <w:tcW w:w="960" w:type="dxa"/>
            <w:tcBorders>
              <w:top w:val="nil"/>
              <w:left w:val="nil"/>
              <w:bottom w:val="single" w:sz="4" w:space="0" w:color="auto"/>
              <w:right w:val="single" w:sz="4" w:space="0" w:color="auto"/>
            </w:tcBorders>
            <w:noWrap/>
            <w:vAlign w:val="bottom"/>
            <w:hideMark/>
          </w:tcPr>
          <w:p w14:paraId="4AC83BC0" w14:textId="77777777" w:rsidR="00FE453B" w:rsidRPr="001C1754" w:rsidRDefault="00FE453B"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1088</w:t>
            </w:r>
          </w:p>
        </w:tc>
      </w:tr>
      <w:bookmarkEnd w:id="12"/>
    </w:tbl>
    <w:p w14:paraId="37F1FAE9" w14:textId="77777777" w:rsidR="00FF64D5" w:rsidRPr="001C1754" w:rsidRDefault="00FF64D5" w:rsidP="001C1754">
      <w:pPr>
        <w:spacing w:after="0" w:line="240" w:lineRule="auto"/>
        <w:jc w:val="both"/>
        <w:rPr>
          <w:rFonts w:ascii="Aptos" w:hAnsi="Aptos" w:cs="Arial"/>
        </w:rPr>
      </w:pPr>
    </w:p>
    <w:p w14:paraId="0961EDFD" w14:textId="0BBB253A" w:rsidR="00803FAE" w:rsidRPr="001009AE" w:rsidRDefault="00FF64D5" w:rsidP="00BF35E9">
      <w:pPr>
        <w:pStyle w:val="Heading1"/>
        <w:spacing w:before="0" w:after="0" w:line="240" w:lineRule="auto"/>
        <w:rPr>
          <w:rFonts w:ascii="Aptos" w:hAnsi="Aptos" w:cs="Arial"/>
        </w:rPr>
      </w:pPr>
      <w:bookmarkStart w:id="13" w:name="_Toc196746735"/>
      <w:r w:rsidRPr="001C1754">
        <w:rPr>
          <w:rFonts w:ascii="Aptos" w:hAnsi="Aptos" w:cs="Arial"/>
        </w:rPr>
        <w:t>Metric 6 - The percentage of staff who experienced harassment, bullying or abuse from other staff</w:t>
      </w:r>
      <w:bookmarkEnd w:id="13"/>
    </w:p>
    <w:p w14:paraId="3FBED9DB" w14:textId="2FB36357" w:rsidR="00FF64D5" w:rsidRDefault="00FF64D5" w:rsidP="0051294A">
      <w:pPr>
        <w:spacing w:after="0" w:line="240" w:lineRule="auto"/>
        <w:rPr>
          <w:rFonts w:ascii="Aptos" w:hAnsi="Aptos" w:cs="Arial"/>
        </w:rPr>
      </w:pPr>
      <w:r w:rsidRPr="001C1754">
        <w:rPr>
          <w:rFonts w:ascii="Aptos" w:hAnsi="Aptos" w:cs="Arial"/>
        </w:rPr>
        <w:t>The percentage of staff from ethnically diverse backgrounds reporting harassment, bullying, or abuse from colleagues in the past 12 months has</w:t>
      </w:r>
      <w:r w:rsidR="00D43D01" w:rsidRPr="001C1754">
        <w:rPr>
          <w:rFonts w:ascii="Aptos" w:hAnsi="Aptos" w:cs="Arial"/>
        </w:rPr>
        <w:t xml:space="preserve"> remained static. In 2024</w:t>
      </w:r>
      <w:r w:rsidR="000B7448" w:rsidRPr="001C1754">
        <w:rPr>
          <w:rFonts w:ascii="Aptos" w:hAnsi="Aptos" w:cs="Arial"/>
        </w:rPr>
        <w:t>,</w:t>
      </w:r>
      <w:r w:rsidR="00D43D01" w:rsidRPr="001C1754">
        <w:rPr>
          <w:rFonts w:ascii="Aptos" w:hAnsi="Aptos" w:cs="Arial"/>
        </w:rPr>
        <w:t xml:space="preserve"> the reporting rate was 27.6%</w:t>
      </w:r>
      <w:r w:rsidR="000962F4" w:rsidRPr="001C1754">
        <w:rPr>
          <w:rFonts w:ascii="Aptos" w:hAnsi="Aptos" w:cs="Arial"/>
        </w:rPr>
        <w:t>, and in 2025, it was 27.3%, representing a 0.3% reduction</w:t>
      </w:r>
      <w:r w:rsidRPr="001C1754">
        <w:rPr>
          <w:rFonts w:ascii="Aptos" w:hAnsi="Aptos" w:cs="Arial"/>
        </w:rPr>
        <w:t xml:space="preserve"> compared to the previous year. For staff from white backgrounds, the rate </w:t>
      </w:r>
      <w:r w:rsidR="000B7448" w:rsidRPr="001C1754">
        <w:rPr>
          <w:rFonts w:ascii="Aptos" w:hAnsi="Aptos" w:cs="Arial"/>
        </w:rPr>
        <w:t xml:space="preserve">has improved slightly, which was 17.93 % in 2024 and </w:t>
      </w:r>
      <w:r w:rsidRPr="001C1754">
        <w:rPr>
          <w:rFonts w:ascii="Aptos" w:hAnsi="Aptos" w:cs="Arial"/>
        </w:rPr>
        <w:t xml:space="preserve">stands at </w:t>
      </w:r>
      <w:r w:rsidR="000B7448" w:rsidRPr="001C1754">
        <w:rPr>
          <w:rFonts w:ascii="Aptos" w:hAnsi="Aptos" w:cs="Arial"/>
        </w:rPr>
        <w:t>17.23%</w:t>
      </w:r>
      <w:r w:rsidRPr="001C1754">
        <w:rPr>
          <w:rFonts w:ascii="Aptos" w:hAnsi="Aptos" w:cs="Arial"/>
        </w:rPr>
        <w:t xml:space="preserve">, reflecting a smaller decrease </w:t>
      </w:r>
      <w:r w:rsidR="00D43D01" w:rsidRPr="001C1754">
        <w:rPr>
          <w:rFonts w:ascii="Aptos" w:hAnsi="Aptos" w:cs="Arial"/>
        </w:rPr>
        <w:t>in</w:t>
      </w:r>
      <w:r w:rsidRPr="001C1754">
        <w:rPr>
          <w:rFonts w:ascii="Aptos" w:hAnsi="Aptos" w:cs="Arial"/>
        </w:rPr>
        <w:t xml:space="preserve"> percentage points since 202</w:t>
      </w:r>
      <w:r w:rsidR="000B7448" w:rsidRPr="001C1754">
        <w:rPr>
          <w:rFonts w:ascii="Aptos" w:hAnsi="Aptos" w:cs="Arial"/>
        </w:rPr>
        <w:t>4</w:t>
      </w:r>
      <w:r w:rsidR="00FE453B" w:rsidRPr="001C1754">
        <w:rPr>
          <w:rFonts w:ascii="Aptos" w:hAnsi="Aptos" w:cs="Arial"/>
        </w:rPr>
        <w:t>.</w:t>
      </w:r>
      <w:r w:rsidRPr="001C1754">
        <w:rPr>
          <w:rFonts w:ascii="Aptos" w:hAnsi="Aptos" w:cs="Arial"/>
        </w:rPr>
        <w:br/>
      </w:r>
    </w:p>
    <w:p w14:paraId="6CA997CA" w14:textId="77777777" w:rsidR="00803FAE" w:rsidRDefault="00803FAE" w:rsidP="001C1754">
      <w:pPr>
        <w:spacing w:after="0" w:line="240" w:lineRule="auto"/>
        <w:rPr>
          <w:rFonts w:ascii="Aptos" w:hAnsi="Aptos" w:cs="Arial"/>
        </w:rPr>
      </w:pPr>
    </w:p>
    <w:p w14:paraId="251A6A26" w14:textId="77777777" w:rsidR="00803FAE" w:rsidRDefault="00803FAE" w:rsidP="001C1754">
      <w:pPr>
        <w:spacing w:after="0" w:line="240" w:lineRule="auto"/>
        <w:rPr>
          <w:rFonts w:ascii="Aptos" w:hAnsi="Aptos" w:cs="Arial"/>
        </w:rPr>
      </w:pPr>
    </w:p>
    <w:p w14:paraId="700D79E1" w14:textId="77777777" w:rsidR="00803FAE" w:rsidRDefault="00803FAE" w:rsidP="001C1754">
      <w:pPr>
        <w:spacing w:after="0" w:line="240" w:lineRule="auto"/>
        <w:rPr>
          <w:rFonts w:ascii="Aptos" w:hAnsi="Aptos" w:cs="Arial"/>
        </w:rPr>
      </w:pPr>
    </w:p>
    <w:p w14:paraId="5AA5DE5E" w14:textId="77777777" w:rsidR="00803FAE" w:rsidRDefault="00803FAE" w:rsidP="001C1754">
      <w:pPr>
        <w:spacing w:after="0" w:line="240" w:lineRule="auto"/>
        <w:rPr>
          <w:rFonts w:ascii="Aptos" w:hAnsi="Aptos" w:cs="Arial"/>
        </w:rPr>
      </w:pPr>
    </w:p>
    <w:p w14:paraId="077D61EA" w14:textId="77777777" w:rsidR="00803FAE" w:rsidRDefault="00803FAE" w:rsidP="001C1754">
      <w:pPr>
        <w:spacing w:after="0" w:line="240" w:lineRule="auto"/>
        <w:rPr>
          <w:rFonts w:ascii="Aptos" w:hAnsi="Aptos" w:cs="Arial"/>
        </w:rPr>
      </w:pPr>
    </w:p>
    <w:p w14:paraId="71FFE7EF" w14:textId="77777777" w:rsidR="00803FAE" w:rsidRDefault="00803FAE" w:rsidP="001C1754">
      <w:pPr>
        <w:spacing w:after="0" w:line="240" w:lineRule="auto"/>
        <w:rPr>
          <w:rFonts w:ascii="Aptos" w:hAnsi="Aptos" w:cs="Arial"/>
        </w:rPr>
      </w:pPr>
    </w:p>
    <w:p w14:paraId="6CDD2D0D" w14:textId="77777777" w:rsidR="00803FAE" w:rsidRDefault="00803FAE" w:rsidP="001C1754">
      <w:pPr>
        <w:spacing w:after="0" w:line="240" w:lineRule="auto"/>
        <w:rPr>
          <w:rFonts w:ascii="Aptos" w:hAnsi="Aptos" w:cs="Arial"/>
        </w:rPr>
      </w:pPr>
    </w:p>
    <w:p w14:paraId="0AE0C994" w14:textId="77777777" w:rsidR="00803FAE" w:rsidRDefault="00803FAE" w:rsidP="001C1754">
      <w:pPr>
        <w:spacing w:after="0" w:line="240" w:lineRule="auto"/>
        <w:rPr>
          <w:rFonts w:ascii="Aptos" w:hAnsi="Aptos" w:cs="Arial"/>
        </w:rPr>
      </w:pPr>
    </w:p>
    <w:p w14:paraId="487B5DF5" w14:textId="77777777" w:rsidR="00803FAE" w:rsidRDefault="00803FAE" w:rsidP="001C1754">
      <w:pPr>
        <w:spacing w:after="0" w:line="240" w:lineRule="auto"/>
        <w:rPr>
          <w:rFonts w:ascii="Aptos" w:hAnsi="Aptos" w:cs="Arial"/>
        </w:rPr>
      </w:pPr>
    </w:p>
    <w:p w14:paraId="2A2C01F2" w14:textId="77777777" w:rsidR="00803FAE" w:rsidRDefault="00803FAE" w:rsidP="001C1754">
      <w:pPr>
        <w:spacing w:after="0" w:line="240" w:lineRule="auto"/>
        <w:rPr>
          <w:rFonts w:ascii="Aptos" w:hAnsi="Aptos" w:cs="Arial"/>
        </w:rPr>
      </w:pPr>
    </w:p>
    <w:p w14:paraId="3DD7204B" w14:textId="77777777" w:rsidR="00803FAE" w:rsidRDefault="00803FAE" w:rsidP="001C1754">
      <w:pPr>
        <w:spacing w:after="0" w:line="240" w:lineRule="auto"/>
        <w:rPr>
          <w:rFonts w:ascii="Aptos" w:hAnsi="Aptos" w:cs="Arial"/>
        </w:rPr>
      </w:pPr>
    </w:p>
    <w:p w14:paraId="2FF4638A" w14:textId="77777777" w:rsidR="00803FAE" w:rsidRPr="001C1754" w:rsidRDefault="00803FAE" w:rsidP="001C1754">
      <w:pPr>
        <w:spacing w:after="0" w:line="240" w:lineRule="auto"/>
        <w:rPr>
          <w:rFonts w:ascii="Aptos" w:hAnsi="Aptos" w:cs="Arial"/>
        </w:rPr>
      </w:pPr>
    </w:p>
    <w:p w14:paraId="18BE3C05" w14:textId="77777777" w:rsidR="001009AE" w:rsidRDefault="001009AE" w:rsidP="001C1754">
      <w:pPr>
        <w:spacing w:after="0" w:line="240" w:lineRule="auto"/>
        <w:jc w:val="both"/>
        <w:rPr>
          <w:rFonts w:ascii="Aptos" w:hAnsi="Aptos" w:cs="Arial"/>
        </w:rPr>
      </w:pPr>
    </w:p>
    <w:p w14:paraId="11D2B0A1" w14:textId="77777777" w:rsidR="001009AE" w:rsidRDefault="001009AE" w:rsidP="001C1754">
      <w:pPr>
        <w:spacing w:after="0" w:line="240" w:lineRule="auto"/>
        <w:jc w:val="both"/>
        <w:rPr>
          <w:rFonts w:ascii="Aptos" w:hAnsi="Aptos" w:cs="Arial"/>
        </w:rPr>
      </w:pPr>
    </w:p>
    <w:p w14:paraId="48C23218" w14:textId="77777777" w:rsidR="001009AE" w:rsidRDefault="001009AE" w:rsidP="001C1754">
      <w:pPr>
        <w:spacing w:after="0" w:line="240" w:lineRule="auto"/>
        <w:jc w:val="both"/>
        <w:rPr>
          <w:rFonts w:ascii="Aptos" w:hAnsi="Aptos" w:cs="Arial"/>
        </w:rPr>
      </w:pPr>
    </w:p>
    <w:p w14:paraId="45433A6D" w14:textId="5D08919E" w:rsidR="000962F4" w:rsidRPr="001C1754" w:rsidRDefault="00FF64D5" w:rsidP="001C1754">
      <w:pPr>
        <w:spacing w:after="0" w:line="240" w:lineRule="auto"/>
        <w:jc w:val="both"/>
        <w:rPr>
          <w:rFonts w:ascii="Aptos" w:hAnsi="Aptos" w:cs="Arial"/>
        </w:rPr>
      </w:pPr>
      <w:r w:rsidRPr="001C1754">
        <w:rPr>
          <w:rFonts w:ascii="Aptos" w:hAnsi="Aptos" w:cs="Arial"/>
        </w:rPr>
        <w:t xml:space="preserve">Table </w:t>
      </w:r>
      <w:r w:rsidR="00F227DB" w:rsidRPr="001C1754">
        <w:rPr>
          <w:rFonts w:ascii="Aptos" w:hAnsi="Aptos" w:cs="Arial"/>
        </w:rPr>
        <w:t>6.0</w:t>
      </w:r>
      <w:r w:rsidRPr="001C1754">
        <w:rPr>
          <w:rFonts w:ascii="Aptos" w:hAnsi="Aptos" w:cs="Arial"/>
        </w:rPr>
        <w:t>: Workforce Race Equality Data for Metric 6 from 2020 to 2024.</w:t>
      </w:r>
    </w:p>
    <w:p w14:paraId="10B228B7" w14:textId="42B69D02" w:rsidR="000962F4" w:rsidRPr="001C1754" w:rsidRDefault="000962F4" w:rsidP="001C1754">
      <w:pPr>
        <w:spacing w:after="0" w:line="240" w:lineRule="auto"/>
        <w:jc w:val="both"/>
        <w:rPr>
          <w:rFonts w:ascii="Aptos" w:hAnsi="Aptos" w:cs="Arial"/>
        </w:rPr>
      </w:pPr>
    </w:p>
    <w:p w14:paraId="73E5CD43" w14:textId="2A5544F1" w:rsidR="00FE453B" w:rsidRPr="001C1754" w:rsidRDefault="000962F4" w:rsidP="001C1754">
      <w:pPr>
        <w:spacing w:after="0" w:line="240" w:lineRule="auto"/>
        <w:jc w:val="both"/>
        <w:rPr>
          <w:rFonts w:ascii="Aptos" w:hAnsi="Aptos" w:cs="Arial"/>
        </w:rPr>
      </w:pPr>
      <w:r w:rsidRPr="001C1754">
        <w:rPr>
          <w:rFonts w:ascii="Aptos" w:hAnsi="Aptos" w:cs="Arial"/>
          <w:noProof/>
        </w:rPr>
        <w:drawing>
          <wp:inline distT="0" distB="0" distL="0" distR="0" wp14:anchorId="24429896" wp14:editId="717CC55B">
            <wp:extent cx="5731510" cy="2085384"/>
            <wp:effectExtent l="0" t="0" r="2540" b="0"/>
            <wp:docPr id="8" name="Picture 7" descr="Table 6.0: Percentage of staff experiencing harassment, bullying or abuse from staff in the last 12 months. Positive progress is being made in reducing internal bullying through the implementation of the Trust’s With you all the way Culture Programme.">
              <a:extLst xmlns:a="http://schemas.openxmlformats.org/drawingml/2006/main">
                <a:ext uri="{FF2B5EF4-FFF2-40B4-BE49-F238E27FC236}">
                  <a16:creationId xmlns:a16="http://schemas.microsoft.com/office/drawing/2014/main" id="{99DE7721-C1F8-D48E-3FE9-E1EE29E42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able 6.0: Percentage of staff experiencing harassment, bullying or abuse from staff in the last 12 months. Positive progress is being made in reducing internal bullying through the implementation of the Trust’s With you all the way Culture Programme.">
                      <a:extLst>
                        <a:ext uri="{FF2B5EF4-FFF2-40B4-BE49-F238E27FC236}">
                          <a16:creationId xmlns:a16="http://schemas.microsoft.com/office/drawing/2014/main" id="{99DE7721-C1F8-D48E-3FE9-E1EE29E423F1}"/>
                        </a:ext>
                      </a:extLst>
                    </pic:cNvPr>
                    <pic:cNvPicPr>
                      <a:picLocks noChangeAspect="1"/>
                    </pic:cNvPicPr>
                  </pic:nvPicPr>
                  <pic:blipFill>
                    <a:blip r:embed="rId19"/>
                    <a:stretch>
                      <a:fillRect/>
                    </a:stretch>
                  </pic:blipFill>
                  <pic:spPr>
                    <a:xfrm>
                      <a:off x="0" y="0"/>
                      <a:ext cx="5731510" cy="2085384"/>
                    </a:xfrm>
                    <a:prstGeom prst="rect">
                      <a:avLst/>
                    </a:prstGeom>
                  </pic:spPr>
                </pic:pic>
              </a:graphicData>
            </a:graphic>
          </wp:inline>
        </w:drawing>
      </w:r>
    </w:p>
    <w:tbl>
      <w:tblPr>
        <w:tblW w:w="7760" w:type="dxa"/>
        <w:tblLook w:val="04A0" w:firstRow="1" w:lastRow="0" w:firstColumn="1" w:lastColumn="0" w:noHBand="0" w:noVBand="1"/>
      </w:tblPr>
      <w:tblGrid>
        <w:gridCol w:w="2960"/>
        <w:gridCol w:w="960"/>
        <w:gridCol w:w="960"/>
        <w:gridCol w:w="960"/>
        <w:gridCol w:w="960"/>
        <w:gridCol w:w="960"/>
      </w:tblGrid>
      <w:tr w:rsidR="000962F4" w:rsidRPr="001C1754" w14:paraId="52178F27" w14:textId="77777777" w:rsidTr="00BE57E4">
        <w:trPr>
          <w:trHeight w:val="290"/>
        </w:trPr>
        <w:tc>
          <w:tcPr>
            <w:tcW w:w="2960" w:type="dxa"/>
            <w:tcBorders>
              <w:top w:val="nil"/>
              <w:left w:val="nil"/>
              <w:bottom w:val="nil"/>
              <w:right w:val="nil"/>
            </w:tcBorders>
            <w:noWrap/>
            <w:vAlign w:val="bottom"/>
            <w:hideMark/>
          </w:tcPr>
          <w:p w14:paraId="0E24C9D5" w14:textId="77777777" w:rsidR="000962F4" w:rsidRPr="001C1754" w:rsidRDefault="000962F4" w:rsidP="001C1754">
            <w:pPr>
              <w:spacing w:after="0" w:line="240" w:lineRule="auto"/>
              <w:rPr>
                <w:rFonts w:ascii="Aptos" w:eastAsia="Times New Roman" w:hAnsi="Aptos" w:cs="Arial"/>
                <w:kern w:val="0"/>
                <w:lang w:eastAsia="en-GB"/>
                <w14:ligatures w14:val="none"/>
              </w:rPr>
            </w:pPr>
          </w:p>
        </w:tc>
        <w:tc>
          <w:tcPr>
            <w:tcW w:w="960" w:type="dxa"/>
            <w:tcBorders>
              <w:top w:val="nil"/>
              <w:left w:val="nil"/>
              <w:bottom w:val="nil"/>
              <w:right w:val="nil"/>
            </w:tcBorders>
            <w:noWrap/>
            <w:vAlign w:val="bottom"/>
            <w:hideMark/>
          </w:tcPr>
          <w:p w14:paraId="345FA2BB"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c>
          <w:tcPr>
            <w:tcW w:w="960" w:type="dxa"/>
            <w:tcBorders>
              <w:top w:val="nil"/>
              <w:left w:val="nil"/>
              <w:bottom w:val="nil"/>
              <w:right w:val="nil"/>
            </w:tcBorders>
            <w:noWrap/>
            <w:vAlign w:val="bottom"/>
            <w:hideMark/>
          </w:tcPr>
          <w:p w14:paraId="53F2BC2B"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c>
          <w:tcPr>
            <w:tcW w:w="960" w:type="dxa"/>
            <w:tcBorders>
              <w:top w:val="nil"/>
              <w:left w:val="nil"/>
              <w:bottom w:val="nil"/>
              <w:right w:val="nil"/>
            </w:tcBorders>
            <w:noWrap/>
            <w:vAlign w:val="bottom"/>
            <w:hideMark/>
          </w:tcPr>
          <w:p w14:paraId="2229AE77"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c>
          <w:tcPr>
            <w:tcW w:w="960" w:type="dxa"/>
            <w:tcBorders>
              <w:top w:val="nil"/>
              <w:left w:val="nil"/>
              <w:bottom w:val="nil"/>
              <w:right w:val="nil"/>
            </w:tcBorders>
            <w:noWrap/>
            <w:vAlign w:val="bottom"/>
            <w:hideMark/>
          </w:tcPr>
          <w:p w14:paraId="3416D3D6"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c>
          <w:tcPr>
            <w:tcW w:w="960" w:type="dxa"/>
            <w:tcBorders>
              <w:top w:val="nil"/>
              <w:left w:val="nil"/>
              <w:bottom w:val="nil"/>
              <w:right w:val="nil"/>
            </w:tcBorders>
            <w:noWrap/>
            <w:vAlign w:val="bottom"/>
            <w:hideMark/>
          </w:tcPr>
          <w:p w14:paraId="6AC992F4"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r>
      <w:tr w:rsidR="000962F4" w:rsidRPr="001C1754" w14:paraId="2D719804" w14:textId="77777777" w:rsidTr="00BE57E4">
        <w:trPr>
          <w:trHeight w:val="290"/>
        </w:trPr>
        <w:tc>
          <w:tcPr>
            <w:tcW w:w="2960" w:type="dxa"/>
            <w:tcBorders>
              <w:top w:val="single" w:sz="4" w:space="0" w:color="auto"/>
              <w:left w:val="single" w:sz="4" w:space="0" w:color="auto"/>
              <w:bottom w:val="single" w:sz="4" w:space="0" w:color="auto"/>
              <w:right w:val="single" w:sz="4" w:space="0" w:color="auto"/>
            </w:tcBorders>
            <w:noWrap/>
            <w:vAlign w:val="bottom"/>
            <w:hideMark/>
          </w:tcPr>
          <w:p w14:paraId="6CDBB663" w14:textId="77777777" w:rsidR="000962F4" w:rsidRPr="001C1754" w:rsidRDefault="000962F4" w:rsidP="001C1754">
            <w:pPr>
              <w:spacing w:after="0" w:line="240" w:lineRule="auto"/>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43F0F165" w14:textId="77777777" w:rsidR="000962F4" w:rsidRPr="001C1754" w:rsidRDefault="000962F4"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0D698C3B" w14:textId="77777777" w:rsidR="000962F4" w:rsidRPr="001C1754" w:rsidRDefault="000962F4"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2021</w:t>
            </w:r>
          </w:p>
        </w:tc>
        <w:tc>
          <w:tcPr>
            <w:tcW w:w="960" w:type="dxa"/>
            <w:tcBorders>
              <w:top w:val="single" w:sz="4" w:space="0" w:color="auto"/>
              <w:left w:val="nil"/>
              <w:bottom w:val="single" w:sz="4" w:space="0" w:color="auto"/>
              <w:right w:val="single" w:sz="4" w:space="0" w:color="auto"/>
            </w:tcBorders>
            <w:noWrap/>
            <w:vAlign w:val="bottom"/>
            <w:hideMark/>
          </w:tcPr>
          <w:p w14:paraId="2535736D" w14:textId="77777777" w:rsidR="000962F4" w:rsidRPr="001C1754" w:rsidRDefault="000962F4"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0E99D4B9" w14:textId="77777777" w:rsidR="000962F4" w:rsidRPr="001C1754" w:rsidRDefault="000962F4"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3E82728E" w14:textId="77777777" w:rsidR="000962F4" w:rsidRPr="001C1754" w:rsidRDefault="000962F4"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2024</w:t>
            </w:r>
          </w:p>
        </w:tc>
      </w:tr>
      <w:tr w:rsidR="000962F4" w:rsidRPr="001C1754" w14:paraId="12B192CD" w14:textId="77777777" w:rsidTr="00BE57E4">
        <w:trPr>
          <w:trHeight w:val="290"/>
        </w:trPr>
        <w:tc>
          <w:tcPr>
            <w:tcW w:w="2960" w:type="dxa"/>
            <w:tcBorders>
              <w:top w:val="nil"/>
              <w:left w:val="single" w:sz="4" w:space="0" w:color="auto"/>
              <w:bottom w:val="single" w:sz="4" w:space="0" w:color="auto"/>
              <w:right w:val="single" w:sz="4" w:space="0" w:color="auto"/>
            </w:tcBorders>
            <w:noWrap/>
            <w:vAlign w:val="bottom"/>
            <w:hideMark/>
          </w:tcPr>
          <w:p w14:paraId="79E1908A" w14:textId="77777777" w:rsidR="000962F4" w:rsidRPr="001C1754" w:rsidRDefault="000962F4"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SWB</w:t>
            </w:r>
          </w:p>
        </w:tc>
        <w:tc>
          <w:tcPr>
            <w:tcW w:w="960" w:type="dxa"/>
            <w:tcBorders>
              <w:top w:val="nil"/>
              <w:left w:val="nil"/>
              <w:bottom w:val="single" w:sz="4" w:space="0" w:color="auto"/>
              <w:right w:val="single" w:sz="4" w:space="0" w:color="auto"/>
            </w:tcBorders>
            <w:noWrap/>
            <w:vAlign w:val="bottom"/>
            <w:hideMark/>
          </w:tcPr>
          <w:p w14:paraId="5D72FC16"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23.14%</w:t>
            </w:r>
          </w:p>
        </w:tc>
        <w:tc>
          <w:tcPr>
            <w:tcW w:w="960" w:type="dxa"/>
            <w:tcBorders>
              <w:top w:val="nil"/>
              <w:left w:val="nil"/>
              <w:bottom w:val="single" w:sz="4" w:space="0" w:color="auto"/>
              <w:right w:val="single" w:sz="4" w:space="0" w:color="auto"/>
            </w:tcBorders>
            <w:noWrap/>
            <w:vAlign w:val="bottom"/>
            <w:hideMark/>
          </w:tcPr>
          <w:p w14:paraId="1F3DBEDF"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26.03%</w:t>
            </w:r>
          </w:p>
        </w:tc>
        <w:tc>
          <w:tcPr>
            <w:tcW w:w="960" w:type="dxa"/>
            <w:tcBorders>
              <w:top w:val="nil"/>
              <w:left w:val="nil"/>
              <w:bottom w:val="single" w:sz="4" w:space="0" w:color="auto"/>
              <w:right w:val="single" w:sz="4" w:space="0" w:color="auto"/>
            </w:tcBorders>
            <w:noWrap/>
            <w:vAlign w:val="bottom"/>
            <w:hideMark/>
          </w:tcPr>
          <w:p w14:paraId="1ED0338D"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23.30%</w:t>
            </w:r>
          </w:p>
        </w:tc>
        <w:tc>
          <w:tcPr>
            <w:tcW w:w="960" w:type="dxa"/>
            <w:tcBorders>
              <w:top w:val="nil"/>
              <w:left w:val="nil"/>
              <w:bottom w:val="single" w:sz="4" w:space="0" w:color="auto"/>
              <w:right w:val="single" w:sz="4" w:space="0" w:color="auto"/>
            </w:tcBorders>
            <w:noWrap/>
            <w:vAlign w:val="bottom"/>
            <w:hideMark/>
          </w:tcPr>
          <w:p w14:paraId="34566717"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17.93%</w:t>
            </w:r>
          </w:p>
        </w:tc>
        <w:tc>
          <w:tcPr>
            <w:tcW w:w="960" w:type="dxa"/>
            <w:tcBorders>
              <w:top w:val="nil"/>
              <w:left w:val="nil"/>
              <w:bottom w:val="single" w:sz="4" w:space="0" w:color="auto"/>
              <w:right w:val="single" w:sz="4" w:space="0" w:color="auto"/>
            </w:tcBorders>
            <w:noWrap/>
            <w:vAlign w:val="bottom"/>
            <w:hideMark/>
          </w:tcPr>
          <w:p w14:paraId="71BDA00A"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17.23%</w:t>
            </w:r>
          </w:p>
        </w:tc>
      </w:tr>
      <w:tr w:rsidR="000962F4" w:rsidRPr="001C1754" w14:paraId="36CF5F47" w14:textId="77777777" w:rsidTr="00BE57E4">
        <w:trPr>
          <w:trHeight w:val="290"/>
        </w:trPr>
        <w:tc>
          <w:tcPr>
            <w:tcW w:w="2960" w:type="dxa"/>
            <w:tcBorders>
              <w:top w:val="nil"/>
              <w:left w:val="single" w:sz="4" w:space="0" w:color="auto"/>
              <w:bottom w:val="single" w:sz="4" w:space="0" w:color="auto"/>
              <w:right w:val="single" w:sz="4" w:space="0" w:color="auto"/>
            </w:tcBorders>
            <w:noWrap/>
            <w:vAlign w:val="bottom"/>
            <w:hideMark/>
          </w:tcPr>
          <w:p w14:paraId="41597CFE" w14:textId="77777777" w:rsidR="000962F4" w:rsidRPr="001C1754" w:rsidRDefault="000962F4"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All other ethnic groups SWB</w:t>
            </w:r>
          </w:p>
        </w:tc>
        <w:tc>
          <w:tcPr>
            <w:tcW w:w="960" w:type="dxa"/>
            <w:tcBorders>
              <w:top w:val="nil"/>
              <w:left w:val="nil"/>
              <w:bottom w:val="single" w:sz="4" w:space="0" w:color="auto"/>
              <w:right w:val="single" w:sz="4" w:space="0" w:color="auto"/>
            </w:tcBorders>
            <w:noWrap/>
            <w:vAlign w:val="bottom"/>
            <w:hideMark/>
          </w:tcPr>
          <w:p w14:paraId="211CF0CB"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29.88%</w:t>
            </w:r>
          </w:p>
        </w:tc>
        <w:tc>
          <w:tcPr>
            <w:tcW w:w="960" w:type="dxa"/>
            <w:tcBorders>
              <w:top w:val="nil"/>
              <w:left w:val="nil"/>
              <w:bottom w:val="single" w:sz="4" w:space="0" w:color="auto"/>
              <w:right w:val="single" w:sz="4" w:space="0" w:color="auto"/>
            </w:tcBorders>
            <w:noWrap/>
            <w:vAlign w:val="bottom"/>
            <w:hideMark/>
          </w:tcPr>
          <w:p w14:paraId="6E4E7163"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32.24%</w:t>
            </w:r>
          </w:p>
        </w:tc>
        <w:tc>
          <w:tcPr>
            <w:tcW w:w="960" w:type="dxa"/>
            <w:tcBorders>
              <w:top w:val="nil"/>
              <w:left w:val="nil"/>
              <w:bottom w:val="single" w:sz="4" w:space="0" w:color="auto"/>
              <w:right w:val="single" w:sz="4" w:space="0" w:color="auto"/>
            </w:tcBorders>
            <w:noWrap/>
            <w:vAlign w:val="bottom"/>
            <w:hideMark/>
          </w:tcPr>
          <w:p w14:paraId="5260D468"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30.72%</w:t>
            </w:r>
          </w:p>
        </w:tc>
        <w:tc>
          <w:tcPr>
            <w:tcW w:w="960" w:type="dxa"/>
            <w:tcBorders>
              <w:top w:val="nil"/>
              <w:left w:val="nil"/>
              <w:bottom w:val="single" w:sz="4" w:space="0" w:color="auto"/>
              <w:right w:val="single" w:sz="4" w:space="0" w:color="auto"/>
            </w:tcBorders>
            <w:noWrap/>
            <w:vAlign w:val="bottom"/>
            <w:hideMark/>
          </w:tcPr>
          <w:p w14:paraId="67C173EB"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27.64%</w:t>
            </w:r>
          </w:p>
        </w:tc>
        <w:tc>
          <w:tcPr>
            <w:tcW w:w="960" w:type="dxa"/>
            <w:tcBorders>
              <w:top w:val="nil"/>
              <w:left w:val="nil"/>
              <w:bottom w:val="single" w:sz="4" w:space="0" w:color="auto"/>
              <w:right w:val="single" w:sz="4" w:space="0" w:color="auto"/>
            </w:tcBorders>
            <w:noWrap/>
            <w:vAlign w:val="bottom"/>
            <w:hideMark/>
          </w:tcPr>
          <w:p w14:paraId="0388EBEC"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27.31%</w:t>
            </w:r>
          </w:p>
        </w:tc>
      </w:tr>
      <w:tr w:rsidR="000962F4" w:rsidRPr="001C1754" w14:paraId="6057039F" w14:textId="77777777" w:rsidTr="00BE57E4">
        <w:trPr>
          <w:trHeight w:val="290"/>
        </w:trPr>
        <w:tc>
          <w:tcPr>
            <w:tcW w:w="2960" w:type="dxa"/>
            <w:tcBorders>
              <w:top w:val="nil"/>
              <w:left w:val="single" w:sz="4" w:space="0" w:color="auto"/>
              <w:bottom w:val="single" w:sz="4" w:space="0" w:color="auto"/>
              <w:right w:val="single" w:sz="4" w:space="0" w:color="auto"/>
            </w:tcBorders>
            <w:noWrap/>
            <w:vAlign w:val="bottom"/>
            <w:hideMark/>
          </w:tcPr>
          <w:p w14:paraId="4C86F684" w14:textId="77777777" w:rsidR="000962F4" w:rsidRPr="001C1754" w:rsidRDefault="000962F4"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average</w:t>
            </w:r>
          </w:p>
        </w:tc>
        <w:tc>
          <w:tcPr>
            <w:tcW w:w="960" w:type="dxa"/>
            <w:tcBorders>
              <w:top w:val="nil"/>
              <w:left w:val="nil"/>
              <w:bottom w:val="single" w:sz="4" w:space="0" w:color="auto"/>
              <w:right w:val="single" w:sz="4" w:space="0" w:color="auto"/>
            </w:tcBorders>
            <w:noWrap/>
            <w:vAlign w:val="bottom"/>
            <w:hideMark/>
          </w:tcPr>
          <w:p w14:paraId="70AC09FB"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24.37%</w:t>
            </w:r>
          </w:p>
        </w:tc>
        <w:tc>
          <w:tcPr>
            <w:tcW w:w="960" w:type="dxa"/>
            <w:tcBorders>
              <w:top w:val="nil"/>
              <w:left w:val="nil"/>
              <w:bottom w:val="single" w:sz="4" w:space="0" w:color="auto"/>
              <w:right w:val="single" w:sz="4" w:space="0" w:color="auto"/>
            </w:tcBorders>
            <w:noWrap/>
            <w:vAlign w:val="bottom"/>
            <w:hideMark/>
          </w:tcPr>
          <w:p w14:paraId="1307CED5"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23.65%</w:t>
            </w:r>
          </w:p>
        </w:tc>
        <w:tc>
          <w:tcPr>
            <w:tcW w:w="960" w:type="dxa"/>
            <w:tcBorders>
              <w:top w:val="nil"/>
              <w:left w:val="nil"/>
              <w:bottom w:val="single" w:sz="4" w:space="0" w:color="auto"/>
              <w:right w:val="single" w:sz="4" w:space="0" w:color="auto"/>
            </w:tcBorders>
            <w:noWrap/>
            <w:vAlign w:val="bottom"/>
            <w:hideMark/>
          </w:tcPr>
          <w:p w14:paraId="2D96838B"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23.25%</w:t>
            </w:r>
          </w:p>
        </w:tc>
        <w:tc>
          <w:tcPr>
            <w:tcW w:w="960" w:type="dxa"/>
            <w:tcBorders>
              <w:top w:val="nil"/>
              <w:left w:val="nil"/>
              <w:bottom w:val="single" w:sz="4" w:space="0" w:color="auto"/>
              <w:right w:val="single" w:sz="4" w:space="0" w:color="auto"/>
            </w:tcBorders>
            <w:noWrap/>
            <w:vAlign w:val="bottom"/>
            <w:hideMark/>
          </w:tcPr>
          <w:p w14:paraId="02412DE3"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22.12%</w:t>
            </w:r>
          </w:p>
        </w:tc>
        <w:tc>
          <w:tcPr>
            <w:tcW w:w="960" w:type="dxa"/>
            <w:tcBorders>
              <w:top w:val="nil"/>
              <w:left w:val="nil"/>
              <w:bottom w:val="single" w:sz="4" w:space="0" w:color="auto"/>
              <w:right w:val="single" w:sz="4" w:space="0" w:color="auto"/>
            </w:tcBorders>
            <w:noWrap/>
            <w:vAlign w:val="bottom"/>
            <w:hideMark/>
          </w:tcPr>
          <w:p w14:paraId="198A0E65"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21.53%</w:t>
            </w:r>
          </w:p>
        </w:tc>
      </w:tr>
      <w:tr w:rsidR="000962F4" w:rsidRPr="001C1754" w14:paraId="6C856E06" w14:textId="77777777" w:rsidTr="00BE57E4">
        <w:trPr>
          <w:trHeight w:val="290"/>
        </w:trPr>
        <w:tc>
          <w:tcPr>
            <w:tcW w:w="2960" w:type="dxa"/>
            <w:tcBorders>
              <w:top w:val="nil"/>
              <w:left w:val="single" w:sz="4" w:space="0" w:color="auto"/>
              <w:bottom w:val="single" w:sz="4" w:space="0" w:color="auto"/>
              <w:right w:val="single" w:sz="4" w:space="0" w:color="auto"/>
            </w:tcBorders>
            <w:noWrap/>
            <w:vAlign w:val="bottom"/>
            <w:hideMark/>
          </w:tcPr>
          <w:p w14:paraId="0532CDD2" w14:textId="54236511" w:rsidR="000962F4" w:rsidRPr="001C1754" w:rsidRDefault="000962F4"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 xml:space="preserve">All other ethnic </w:t>
            </w:r>
            <w:r w:rsidR="00403DC5" w:rsidRPr="001C1754">
              <w:rPr>
                <w:rFonts w:ascii="Aptos" w:eastAsia="Times New Roman" w:hAnsi="Aptos" w:cs="Arial"/>
                <w:color w:val="000000"/>
                <w:kern w:val="0"/>
                <w:sz w:val="22"/>
                <w:szCs w:val="22"/>
                <w:lang w:eastAsia="en-GB"/>
                <w14:ligatures w14:val="none"/>
              </w:rPr>
              <w:t>groups'</w:t>
            </w:r>
            <w:r w:rsidRPr="001C1754">
              <w:rPr>
                <w:rFonts w:ascii="Aptos" w:eastAsia="Times New Roman" w:hAnsi="Aptos" w:cs="Arial"/>
                <w:color w:val="000000"/>
                <w:kern w:val="0"/>
                <w:sz w:val="22"/>
                <w:szCs w:val="22"/>
                <w:lang w:eastAsia="en-GB"/>
                <w14:ligatures w14:val="none"/>
              </w:rPr>
              <w:t xml:space="preserve"> average</w:t>
            </w:r>
          </w:p>
        </w:tc>
        <w:tc>
          <w:tcPr>
            <w:tcW w:w="960" w:type="dxa"/>
            <w:tcBorders>
              <w:top w:val="nil"/>
              <w:left w:val="nil"/>
              <w:bottom w:val="single" w:sz="4" w:space="0" w:color="auto"/>
              <w:right w:val="single" w:sz="4" w:space="0" w:color="auto"/>
            </w:tcBorders>
            <w:noWrap/>
            <w:vAlign w:val="bottom"/>
            <w:hideMark/>
          </w:tcPr>
          <w:p w14:paraId="090EA9B7"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29.07%</w:t>
            </w:r>
          </w:p>
        </w:tc>
        <w:tc>
          <w:tcPr>
            <w:tcW w:w="960" w:type="dxa"/>
            <w:tcBorders>
              <w:top w:val="nil"/>
              <w:left w:val="nil"/>
              <w:bottom w:val="single" w:sz="4" w:space="0" w:color="auto"/>
              <w:right w:val="single" w:sz="4" w:space="0" w:color="auto"/>
            </w:tcBorders>
            <w:noWrap/>
            <w:vAlign w:val="bottom"/>
            <w:hideMark/>
          </w:tcPr>
          <w:p w14:paraId="12917C58"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28.53%</w:t>
            </w:r>
          </w:p>
        </w:tc>
        <w:tc>
          <w:tcPr>
            <w:tcW w:w="960" w:type="dxa"/>
            <w:tcBorders>
              <w:top w:val="nil"/>
              <w:left w:val="nil"/>
              <w:bottom w:val="single" w:sz="4" w:space="0" w:color="auto"/>
              <w:right w:val="single" w:sz="4" w:space="0" w:color="auto"/>
            </w:tcBorders>
            <w:noWrap/>
            <w:vAlign w:val="bottom"/>
            <w:hideMark/>
          </w:tcPr>
          <w:p w14:paraId="725BEB8C"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28.81%</w:t>
            </w:r>
          </w:p>
        </w:tc>
        <w:tc>
          <w:tcPr>
            <w:tcW w:w="960" w:type="dxa"/>
            <w:tcBorders>
              <w:top w:val="nil"/>
              <w:left w:val="nil"/>
              <w:bottom w:val="single" w:sz="4" w:space="0" w:color="auto"/>
              <w:right w:val="single" w:sz="4" w:space="0" w:color="auto"/>
            </w:tcBorders>
            <w:noWrap/>
            <w:vAlign w:val="bottom"/>
            <w:hideMark/>
          </w:tcPr>
          <w:p w14:paraId="4B6840CF"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25.16%</w:t>
            </w:r>
          </w:p>
        </w:tc>
        <w:tc>
          <w:tcPr>
            <w:tcW w:w="960" w:type="dxa"/>
            <w:tcBorders>
              <w:top w:val="nil"/>
              <w:left w:val="nil"/>
              <w:bottom w:val="single" w:sz="4" w:space="0" w:color="auto"/>
              <w:right w:val="single" w:sz="4" w:space="0" w:color="auto"/>
            </w:tcBorders>
            <w:noWrap/>
            <w:vAlign w:val="bottom"/>
            <w:hideMark/>
          </w:tcPr>
          <w:p w14:paraId="798B3537"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24.78%</w:t>
            </w:r>
          </w:p>
        </w:tc>
      </w:tr>
      <w:tr w:rsidR="000962F4" w:rsidRPr="001C1754" w14:paraId="2B2D3116" w14:textId="77777777" w:rsidTr="00BE57E4">
        <w:trPr>
          <w:trHeight w:val="290"/>
        </w:trPr>
        <w:tc>
          <w:tcPr>
            <w:tcW w:w="2960" w:type="dxa"/>
            <w:tcBorders>
              <w:top w:val="nil"/>
              <w:left w:val="single" w:sz="4" w:space="0" w:color="auto"/>
              <w:bottom w:val="single" w:sz="4" w:space="0" w:color="auto"/>
              <w:right w:val="single" w:sz="4" w:space="0" w:color="auto"/>
            </w:tcBorders>
            <w:noWrap/>
            <w:vAlign w:val="bottom"/>
            <w:hideMark/>
          </w:tcPr>
          <w:p w14:paraId="55DABD83" w14:textId="77777777" w:rsidR="000962F4" w:rsidRPr="001C1754" w:rsidRDefault="000962F4"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responses</w:t>
            </w:r>
          </w:p>
        </w:tc>
        <w:tc>
          <w:tcPr>
            <w:tcW w:w="960" w:type="dxa"/>
            <w:tcBorders>
              <w:top w:val="nil"/>
              <w:left w:val="nil"/>
              <w:bottom w:val="single" w:sz="4" w:space="0" w:color="auto"/>
              <w:right w:val="single" w:sz="4" w:space="0" w:color="auto"/>
            </w:tcBorders>
            <w:noWrap/>
            <w:vAlign w:val="bottom"/>
            <w:hideMark/>
          </w:tcPr>
          <w:p w14:paraId="43A522A1"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1396</w:t>
            </w:r>
          </w:p>
        </w:tc>
        <w:tc>
          <w:tcPr>
            <w:tcW w:w="960" w:type="dxa"/>
            <w:tcBorders>
              <w:top w:val="nil"/>
              <w:left w:val="nil"/>
              <w:bottom w:val="single" w:sz="4" w:space="0" w:color="auto"/>
              <w:right w:val="single" w:sz="4" w:space="0" w:color="auto"/>
            </w:tcBorders>
            <w:noWrap/>
            <w:vAlign w:val="bottom"/>
            <w:hideMark/>
          </w:tcPr>
          <w:p w14:paraId="312E64BD"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1598</w:t>
            </w:r>
          </w:p>
        </w:tc>
        <w:tc>
          <w:tcPr>
            <w:tcW w:w="960" w:type="dxa"/>
            <w:tcBorders>
              <w:top w:val="nil"/>
              <w:left w:val="nil"/>
              <w:bottom w:val="single" w:sz="4" w:space="0" w:color="auto"/>
              <w:right w:val="single" w:sz="4" w:space="0" w:color="auto"/>
            </w:tcBorders>
            <w:noWrap/>
            <w:vAlign w:val="bottom"/>
            <w:hideMark/>
          </w:tcPr>
          <w:p w14:paraId="5BDB6FDD"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1562</w:t>
            </w:r>
          </w:p>
        </w:tc>
        <w:tc>
          <w:tcPr>
            <w:tcW w:w="960" w:type="dxa"/>
            <w:tcBorders>
              <w:top w:val="nil"/>
              <w:left w:val="nil"/>
              <w:bottom w:val="single" w:sz="4" w:space="0" w:color="auto"/>
              <w:right w:val="single" w:sz="4" w:space="0" w:color="auto"/>
            </w:tcBorders>
            <w:noWrap/>
            <w:vAlign w:val="bottom"/>
            <w:hideMark/>
          </w:tcPr>
          <w:p w14:paraId="0C5F5CE3"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1288</w:t>
            </w:r>
          </w:p>
        </w:tc>
        <w:tc>
          <w:tcPr>
            <w:tcW w:w="960" w:type="dxa"/>
            <w:tcBorders>
              <w:top w:val="nil"/>
              <w:left w:val="nil"/>
              <w:bottom w:val="single" w:sz="4" w:space="0" w:color="auto"/>
              <w:right w:val="single" w:sz="4" w:space="0" w:color="auto"/>
            </w:tcBorders>
            <w:noWrap/>
            <w:vAlign w:val="bottom"/>
            <w:hideMark/>
          </w:tcPr>
          <w:p w14:paraId="417B1DA6"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1573</w:t>
            </w:r>
          </w:p>
        </w:tc>
      </w:tr>
      <w:tr w:rsidR="000962F4" w:rsidRPr="001C1754" w14:paraId="358FC859" w14:textId="77777777" w:rsidTr="00BE57E4">
        <w:trPr>
          <w:trHeight w:val="290"/>
        </w:trPr>
        <w:tc>
          <w:tcPr>
            <w:tcW w:w="2960" w:type="dxa"/>
            <w:tcBorders>
              <w:top w:val="nil"/>
              <w:left w:val="single" w:sz="4" w:space="0" w:color="auto"/>
              <w:bottom w:val="single" w:sz="4" w:space="0" w:color="auto"/>
              <w:right w:val="single" w:sz="4" w:space="0" w:color="auto"/>
            </w:tcBorders>
            <w:noWrap/>
            <w:vAlign w:val="bottom"/>
            <w:hideMark/>
          </w:tcPr>
          <w:p w14:paraId="7FC0F347" w14:textId="77777777" w:rsidR="000962F4" w:rsidRPr="001C1754" w:rsidRDefault="000962F4"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All other ethnic group responses</w:t>
            </w:r>
          </w:p>
        </w:tc>
        <w:tc>
          <w:tcPr>
            <w:tcW w:w="960" w:type="dxa"/>
            <w:tcBorders>
              <w:top w:val="nil"/>
              <w:left w:val="nil"/>
              <w:bottom w:val="single" w:sz="4" w:space="0" w:color="auto"/>
              <w:right w:val="single" w:sz="4" w:space="0" w:color="auto"/>
            </w:tcBorders>
            <w:noWrap/>
            <w:vAlign w:val="bottom"/>
            <w:hideMark/>
          </w:tcPr>
          <w:p w14:paraId="2841E647"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753</w:t>
            </w:r>
          </w:p>
        </w:tc>
        <w:tc>
          <w:tcPr>
            <w:tcW w:w="960" w:type="dxa"/>
            <w:tcBorders>
              <w:top w:val="nil"/>
              <w:left w:val="nil"/>
              <w:bottom w:val="single" w:sz="4" w:space="0" w:color="auto"/>
              <w:right w:val="single" w:sz="4" w:space="0" w:color="auto"/>
            </w:tcBorders>
            <w:noWrap/>
            <w:vAlign w:val="bottom"/>
            <w:hideMark/>
          </w:tcPr>
          <w:p w14:paraId="032BF276"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1005</w:t>
            </w:r>
          </w:p>
        </w:tc>
        <w:tc>
          <w:tcPr>
            <w:tcW w:w="960" w:type="dxa"/>
            <w:tcBorders>
              <w:top w:val="nil"/>
              <w:left w:val="nil"/>
              <w:bottom w:val="single" w:sz="4" w:space="0" w:color="auto"/>
              <w:right w:val="single" w:sz="4" w:space="0" w:color="auto"/>
            </w:tcBorders>
            <w:noWrap/>
            <w:vAlign w:val="bottom"/>
            <w:hideMark/>
          </w:tcPr>
          <w:p w14:paraId="480142FA"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1110</w:t>
            </w:r>
          </w:p>
        </w:tc>
        <w:tc>
          <w:tcPr>
            <w:tcW w:w="960" w:type="dxa"/>
            <w:tcBorders>
              <w:top w:val="nil"/>
              <w:left w:val="nil"/>
              <w:bottom w:val="single" w:sz="4" w:space="0" w:color="auto"/>
              <w:right w:val="single" w:sz="4" w:space="0" w:color="auto"/>
            </w:tcBorders>
            <w:noWrap/>
            <w:vAlign w:val="bottom"/>
            <w:hideMark/>
          </w:tcPr>
          <w:p w14:paraId="73734DCE"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818</w:t>
            </w:r>
          </w:p>
        </w:tc>
        <w:tc>
          <w:tcPr>
            <w:tcW w:w="960" w:type="dxa"/>
            <w:tcBorders>
              <w:top w:val="nil"/>
              <w:left w:val="nil"/>
              <w:bottom w:val="single" w:sz="4" w:space="0" w:color="auto"/>
              <w:right w:val="single" w:sz="4" w:space="0" w:color="auto"/>
            </w:tcBorders>
            <w:noWrap/>
            <w:vAlign w:val="bottom"/>
            <w:hideMark/>
          </w:tcPr>
          <w:p w14:paraId="297CD8A4"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1091</w:t>
            </w:r>
          </w:p>
        </w:tc>
      </w:tr>
      <w:tr w:rsidR="000962F4" w:rsidRPr="001C1754" w14:paraId="3B47EE18" w14:textId="77777777" w:rsidTr="00BE57E4">
        <w:trPr>
          <w:trHeight w:val="290"/>
        </w:trPr>
        <w:tc>
          <w:tcPr>
            <w:tcW w:w="2960" w:type="dxa"/>
            <w:tcBorders>
              <w:top w:val="nil"/>
              <w:left w:val="nil"/>
              <w:bottom w:val="nil"/>
              <w:right w:val="nil"/>
            </w:tcBorders>
            <w:noWrap/>
            <w:vAlign w:val="bottom"/>
            <w:hideMark/>
          </w:tcPr>
          <w:p w14:paraId="6805BDB8" w14:textId="77777777" w:rsidR="000962F4" w:rsidRPr="001C1754" w:rsidRDefault="000962F4" w:rsidP="001C1754">
            <w:pPr>
              <w:spacing w:after="0" w:line="240" w:lineRule="auto"/>
              <w:jc w:val="right"/>
              <w:rPr>
                <w:rFonts w:ascii="Aptos" w:eastAsia="Times New Roman" w:hAnsi="Aptos" w:cs="Arial"/>
                <w:color w:val="000000"/>
                <w:kern w:val="0"/>
                <w:sz w:val="22"/>
                <w:szCs w:val="22"/>
                <w:lang w:eastAsia="en-GB"/>
                <w14:ligatures w14:val="none"/>
              </w:rPr>
            </w:pPr>
          </w:p>
        </w:tc>
        <w:tc>
          <w:tcPr>
            <w:tcW w:w="960" w:type="dxa"/>
            <w:tcBorders>
              <w:top w:val="nil"/>
              <w:left w:val="nil"/>
              <w:bottom w:val="nil"/>
              <w:right w:val="nil"/>
            </w:tcBorders>
            <w:noWrap/>
            <w:vAlign w:val="bottom"/>
            <w:hideMark/>
          </w:tcPr>
          <w:p w14:paraId="3F4C2F4F"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c>
          <w:tcPr>
            <w:tcW w:w="960" w:type="dxa"/>
            <w:tcBorders>
              <w:top w:val="nil"/>
              <w:left w:val="nil"/>
              <w:bottom w:val="nil"/>
              <w:right w:val="nil"/>
            </w:tcBorders>
            <w:noWrap/>
            <w:vAlign w:val="bottom"/>
            <w:hideMark/>
          </w:tcPr>
          <w:p w14:paraId="68BFC004"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c>
          <w:tcPr>
            <w:tcW w:w="960" w:type="dxa"/>
            <w:tcBorders>
              <w:top w:val="nil"/>
              <w:left w:val="nil"/>
              <w:bottom w:val="nil"/>
              <w:right w:val="nil"/>
            </w:tcBorders>
            <w:noWrap/>
            <w:vAlign w:val="bottom"/>
            <w:hideMark/>
          </w:tcPr>
          <w:p w14:paraId="1F363CE3"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c>
          <w:tcPr>
            <w:tcW w:w="960" w:type="dxa"/>
            <w:tcBorders>
              <w:top w:val="nil"/>
              <w:left w:val="nil"/>
              <w:bottom w:val="nil"/>
              <w:right w:val="nil"/>
            </w:tcBorders>
            <w:noWrap/>
            <w:vAlign w:val="bottom"/>
            <w:hideMark/>
          </w:tcPr>
          <w:p w14:paraId="7ECA855C"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c>
          <w:tcPr>
            <w:tcW w:w="960" w:type="dxa"/>
            <w:tcBorders>
              <w:top w:val="nil"/>
              <w:left w:val="nil"/>
              <w:bottom w:val="nil"/>
              <w:right w:val="nil"/>
            </w:tcBorders>
            <w:noWrap/>
            <w:vAlign w:val="bottom"/>
            <w:hideMark/>
          </w:tcPr>
          <w:p w14:paraId="3A6B23C4" w14:textId="77777777" w:rsidR="000962F4" w:rsidRPr="001C1754" w:rsidRDefault="000962F4" w:rsidP="001C1754">
            <w:pPr>
              <w:spacing w:after="0" w:line="240" w:lineRule="auto"/>
              <w:rPr>
                <w:rFonts w:ascii="Aptos" w:eastAsia="Times New Roman" w:hAnsi="Aptos" w:cs="Arial"/>
                <w:kern w:val="0"/>
                <w:sz w:val="20"/>
                <w:szCs w:val="20"/>
                <w:lang w:eastAsia="en-GB"/>
                <w14:ligatures w14:val="none"/>
              </w:rPr>
            </w:pPr>
          </w:p>
        </w:tc>
      </w:tr>
    </w:tbl>
    <w:p w14:paraId="50E30009" w14:textId="5E9E4662" w:rsidR="00FF64D5" w:rsidRDefault="00FF64D5" w:rsidP="00BF35E9">
      <w:pPr>
        <w:spacing w:after="0" w:line="240" w:lineRule="auto"/>
        <w:rPr>
          <w:rFonts w:ascii="Aptos" w:hAnsi="Aptos" w:cs="Arial"/>
        </w:rPr>
      </w:pPr>
      <w:r w:rsidRPr="001C1754">
        <w:rPr>
          <w:rFonts w:ascii="Aptos" w:hAnsi="Aptos" w:cs="Arial"/>
        </w:rPr>
        <w:t xml:space="preserve">Positive progress is being made in reducing internal bullying </w:t>
      </w:r>
      <w:r w:rsidR="000962F4" w:rsidRPr="001C1754">
        <w:rPr>
          <w:rFonts w:ascii="Aptos" w:hAnsi="Aptos" w:cs="Arial"/>
        </w:rPr>
        <w:t xml:space="preserve">through the implementation of the Trust’s </w:t>
      </w:r>
      <w:r w:rsidR="00A23088">
        <w:rPr>
          <w:rFonts w:ascii="Aptos" w:hAnsi="Aptos" w:cs="Arial"/>
        </w:rPr>
        <w:t>With you all the way Culture Programme</w:t>
      </w:r>
      <w:r w:rsidR="000962F4" w:rsidRPr="001C1754">
        <w:rPr>
          <w:rFonts w:ascii="Aptos" w:hAnsi="Aptos" w:cs="Arial"/>
        </w:rPr>
        <w:t xml:space="preserve">; however, </w:t>
      </w:r>
      <w:r w:rsidRPr="001C1754">
        <w:rPr>
          <w:rFonts w:ascii="Aptos" w:hAnsi="Aptos" w:cs="Arial"/>
        </w:rPr>
        <w:t>continued focus is needed to sustain improvement.</w:t>
      </w:r>
    </w:p>
    <w:p w14:paraId="6913F4E7" w14:textId="77777777" w:rsidR="00A23088" w:rsidRPr="001C1754" w:rsidRDefault="00A23088" w:rsidP="00BF35E9">
      <w:pPr>
        <w:spacing w:after="0" w:line="240" w:lineRule="auto"/>
        <w:rPr>
          <w:rFonts w:ascii="Aptos" w:hAnsi="Aptos" w:cs="Arial"/>
        </w:rPr>
      </w:pPr>
    </w:p>
    <w:p w14:paraId="2F853CB3" w14:textId="77777777" w:rsidR="00FF64D5" w:rsidRPr="001C1754" w:rsidRDefault="00FF64D5" w:rsidP="00BF35E9">
      <w:pPr>
        <w:pStyle w:val="Heading1"/>
        <w:spacing w:before="0" w:after="0" w:line="240" w:lineRule="auto"/>
        <w:rPr>
          <w:rFonts w:ascii="Aptos" w:hAnsi="Aptos" w:cs="Arial"/>
        </w:rPr>
      </w:pPr>
      <w:bookmarkStart w:id="14" w:name="_Toc196746736"/>
      <w:r w:rsidRPr="001C1754">
        <w:rPr>
          <w:rFonts w:ascii="Aptos" w:hAnsi="Aptos" w:cs="Arial"/>
        </w:rPr>
        <w:t>Metric 7 - The percentage of staff who believed that the trust provided equal opportunities for career progression or promotion</w:t>
      </w:r>
      <w:bookmarkEnd w:id="14"/>
    </w:p>
    <w:p w14:paraId="25767A4B" w14:textId="6DAA22CE" w:rsidR="00FF64D5" w:rsidRPr="001C1754" w:rsidRDefault="00FF64D5" w:rsidP="00BF35E9">
      <w:pPr>
        <w:spacing w:after="0" w:line="240" w:lineRule="auto"/>
        <w:rPr>
          <w:rFonts w:ascii="Aptos" w:hAnsi="Aptos" w:cs="Arial"/>
        </w:rPr>
      </w:pPr>
      <w:r w:rsidRPr="001C1754">
        <w:rPr>
          <w:rFonts w:ascii="Aptos" w:hAnsi="Aptos" w:cs="Arial"/>
        </w:rPr>
        <w:t>The percentage of staff fr</w:t>
      </w:r>
      <w:r w:rsidR="000962F4" w:rsidRPr="001C1754">
        <w:rPr>
          <w:rFonts w:ascii="Aptos" w:hAnsi="Aptos" w:cs="Arial"/>
        </w:rPr>
        <w:t>om BME backgrounds</w:t>
      </w:r>
      <w:r w:rsidRPr="001C1754">
        <w:rPr>
          <w:rFonts w:ascii="Aptos" w:hAnsi="Aptos" w:cs="Arial"/>
        </w:rPr>
        <w:t xml:space="preserve"> who believe the Trust provides equal opportunities for career progression or promotion </w:t>
      </w:r>
      <w:r w:rsidR="00864E0C" w:rsidRPr="001C1754">
        <w:rPr>
          <w:rFonts w:ascii="Aptos" w:hAnsi="Aptos" w:cs="Arial"/>
        </w:rPr>
        <w:t xml:space="preserve">has improved since the previous reporting year, from 44.6%  in 2024 to 46.4% in 2025. </w:t>
      </w:r>
      <w:r w:rsidRPr="001C1754">
        <w:rPr>
          <w:rFonts w:ascii="Aptos" w:hAnsi="Aptos" w:cs="Arial"/>
        </w:rPr>
        <w:t xml:space="preserve"> </w:t>
      </w:r>
      <w:r w:rsidR="00010D26" w:rsidRPr="001C1754">
        <w:rPr>
          <w:rFonts w:ascii="Aptos" w:hAnsi="Aptos" w:cs="Arial"/>
        </w:rPr>
        <w:t xml:space="preserve">It is acknowledged that a disparity still exists </w:t>
      </w:r>
      <w:r w:rsidRPr="001C1754">
        <w:rPr>
          <w:rFonts w:ascii="Aptos" w:hAnsi="Aptos" w:cs="Arial"/>
        </w:rPr>
        <w:t xml:space="preserve">between staff from </w:t>
      </w:r>
      <w:r w:rsidR="00010D26" w:rsidRPr="001C1754">
        <w:rPr>
          <w:rFonts w:ascii="Aptos" w:hAnsi="Aptos" w:cs="Arial"/>
        </w:rPr>
        <w:t>BME backgrounds</w:t>
      </w:r>
      <w:r w:rsidRPr="001C1754">
        <w:rPr>
          <w:rFonts w:ascii="Aptos" w:hAnsi="Aptos" w:cs="Arial"/>
        </w:rPr>
        <w:t xml:space="preserve"> and staff from white backgrounds, with a gap of (</w:t>
      </w:r>
      <w:r w:rsidR="00010D26" w:rsidRPr="001C1754">
        <w:rPr>
          <w:rFonts w:ascii="Aptos" w:hAnsi="Aptos" w:cs="Arial"/>
        </w:rPr>
        <w:t>60.89 %</w:t>
      </w:r>
      <w:r w:rsidRPr="001C1754">
        <w:rPr>
          <w:rFonts w:ascii="Aptos" w:hAnsi="Aptos" w:cs="Arial"/>
        </w:rPr>
        <w:t xml:space="preserve"> vs. </w:t>
      </w:r>
      <w:r w:rsidR="00010D26" w:rsidRPr="001C1754">
        <w:rPr>
          <w:rFonts w:ascii="Aptos" w:hAnsi="Aptos" w:cs="Arial"/>
        </w:rPr>
        <w:t>46.4%</w:t>
      </w:r>
      <w:r w:rsidRPr="001C1754">
        <w:rPr>
          <w:rFonts w:ascii="Aptos" w:hAnsi="Aptos" w:cs="Arial"/>
        </w:rPr>
        <w:t>)</w:t>
      </w:r>
      <w:r w:rsidR="00010D26" w:rsidRPr="001C1754">
        <w:rPr>
          <w:rFonts w:ascii="Aptos" w:hAnsi="Aptos" w:cs="Arial"/>
        </w:rPr>
        <w:t xml:space="preserve"> concerning staff experience</w:t>
      </w:r>
      <w:r w:rsidRPr="001C1754">
        <w:rPr>
          <w:rFonts w:ascii="Aptos" w:hAnsi="Aptos" w:cs="Arial"/>
        </w:rPr>
        <w:t xml:space="preserve">. However, survey responses from staff from </w:t>
      </w:r>
      <w:r w:rsidR="00010D26" w:rsidRPr="001C1754">
        <w:rPr>
          <w:rFonts w:ascii="Aptos" w:hAnsi="Aptos" w:cs="Arial"/>
        </w:rPr>
        <w:t>BME backgrounds</w:t>
      </w:r>
      <w:r w:rsidRPr="001C1754">
        <w:rPr>
          <w:rFonts w:ascii="Aptos" w:hAnsi="Aptos" w:cs="Arial"/>
        </w:rPr>
        <w:t xml:space="preserve"> have shown a notable improvement over the past five years, indicating a gradual positive shift in </w:t>
      </w:r>
      <w:r w:rsidR="000962F4" w:rsidRPr="001C1754">
        <w:rPr>
          <w:rFonts w:ascii="Aptos" w:hAnsi="Aptos" w:cs="Arial"/>
        </w:rPr>
        <w:t>staff engagement levels.</w:t>
      </w:r>
    </w:p>
    <w:p w14:paraId="4D3E4BDD" w14:textId="0342A038" w:rsidR="00FF64D5" w:rsidRDefault="00FF64D5" w:rsidP="001C1754">
      <w:pPr>
        <w:spacing w:after="0" w:line="240" w:lineRule="auto"/>
        <w:jc w:val="both"/>
        <w:rPr>
          <w:rFonts w:ascii="Aptos" w:hAnsi="Aptos" w:cs="Arial"/>
        </w:rPr>
      </w:pPr>
    </w:p>
    <w:p w14:paraId="653A5B55" w14:textId="77777777" w:rsidR="001009AE" w:rsidRDefault="001009AE" w:rsidP="001C1754">
      <w:pPr>
        <w:spacing w:after="0" w:line="240" w:lineRule="auto"/>
        <w:jc w:val="both"/>
        <w:rPr>
          <w:rFonts w:ascii="Aptos" w:hAnsi="Aptos" w:cs="Arial"/>
        </w:rPr>
      </w:pPr>
    </w:p>
    <w:p w14:paraId="5EAC9CE6" w14:textId="77777777" w:rsidR="001009AE" w:rsidRDefault="001009AE" w:rsidP="001C1754">
      <w:pPr>
        <w:spacing w:after="0" w:line="240" w:lineRule="auto"/>
        <w:jc w:val="both"/>
        <w:rPr>
          <w:rFonts w:ascii="Aptos" w:hAnsi="Aptos" w:cs="Arial"/>
        </w:rPr>
      </w:pPr>
    </w:p>
    <w:p w14:paraId="5A91B875" w14:textId="77777777" w:rsidR="001009AE" w:rsidRDefault="001009AE" w:rsidP="001C1754">
      <w:pPr>
        <w:spacing w:after="0" w:line="240" w:lineRule="auto"/>
        <w:jc w:val="both"/>
        <w:rPr>
          <w:rFonts w:ascii="Aptos" w:hAnsi="Aptos" w:cs="Arial"/>
        </w:rPr>
      </w:pPr>
    </w:p>
    <w:p w14:paraId="2EF3936C" w14:textId="77777777" w:rsidR="001009AE" w:rsidRDefault="001009AE" w:rsidP="001C1754">
      <w:pPr>
        <w:spacing w:after="0" w:line="240" w:lineRule="auto"/>
        <w:jc w:val="both"/>
        <w:rPr>
          <w:rFonts w:ascii="Aptos" w:hAnsi="Aptos" w:cs="Arial"/>
        </w:rPr>
      </w:pPr>
    </w:p>
    <w:p w14:paraId="72B5A81D" w14:textId="77777777" w:rsidR="001009AE" w:rsidRDefault="001009AE" w:rsidP="001C1754">
      <w:pPr>
        <w:spacing w:after="0" w:line="240" w:lineRule="auto"/>
        <w:jc w:val="both"/>
        <w:rPr>
          <w:rFonts w:ascii="Aptos" w:hAnsi="Aptos" w:cs="Arial"/>
        </w:rPr>
      </w:pPr>
    </w:p>
    <w:p w14:paraId="6CAFAAE3" w14:textId="77777777" w:rsidR="001009AE" w:rsidRPr="001C1754" w:rsidRDefault="001009AE" w:rsidP="001C1754">
      <w:pPr>
        <w:spacing w:after="0" w:line="240" w:lineRule="auto"/>
        <w:jc w:val="both"/>
        <w:rPr>
          <w:rFonts w:ascii="Aptos" w:hAnsi="Aptos" w:cs="Arial"/>
        </w:rPr>
      </w:pPr>
    </w:p>
    <w:p w14:paraId="69F13519" w14:textId="5B980639" w:rsidR="00FF64D5" w:rsidRPr="001C1754" w:rsidRDefault="00FF64D5" w:rsidP="001C1754">
      <w:pPr>
        <w:spacing w:after="0" w:line="240" w:lineRule="auto"/>
        <w:jc w:val="both"/>
        <w:rPr>
          <w:rFonts w:ascii="Aptos" w:hAnsi="Aptos" w:cs="Arial"/>
        </w:rPr>
      </w:pPr>
      <w:r w:rsidRPr="001C1754">
        <w:rPr>
          <w:rFonts w:ascii="Aptos" w:hAnsi="Aptos" w:cs="Arial"/>
        </w:rPr>
        <w:t xml:space="preserve">Table </w:t>
      </w:r>
      <w:r w:rsidR="00403DC5" w:rsidRPr="001C1754">
        <w:rPr>
          <w:rFonts w:ascii="Aptos" w:hAnsi="Aptos" w:cs="Arial"/>
        </w:rPr>
        <w:t>7.0</w:t>
      </w:r>
      <w:r w:rsidRPr="001C1754">
        <w:rPr>
          <w:rFonts w:ascii="Aptos" w:hAnsi="Aptos" w:cs="Arial"/>
        </w:rPr>
        <w:t>: Workforce Race Equality Data for Metric 7 from 2020 to 2024.</w:t>
      </w:r>
    </w:p>
    <w:p w14:paraId="20208FC1" w14:textId="1884DB59" w:rsidR="00FF64D5" w:rsidRPr="001C1754" w:rsidRDefault="00631A7C" w:rsidP="001C1754">
      <w:pPr>
        <w:spacing w:after="0" w:line="240" w:lineRule="auto"/>
        <w:jc w:val="both"/>
        <w:rPr>
          <w:rFonts w:ascii="Aptos" w:hAnsi="Aptos" w:cs="Arial"/>
        </w:rPr>
      </w:pPr>
      <w:r w:rsidRPr="001C1754">
        <w:rPr>
          <w:rFonts w:ascii="Aptos" w:hAnsi="Aptos" w:cs="Arial"/>
          <w:noProof/>
        </w:rPr>
        <w:drawing>
          <wp:inline distT="0" distB="0" distL="0" distR="0" wp14:anchorId="3BDFA519" wp14:editId="0FCBFB18">
            <wp:extent cx="5731510" cy="2113830"/>
            <wp:effectExtent l="0" t="0" r="2540" b="1270"/>
            <wp:docPr id="10" name="Picture 9" descr="Table.7.0: Percentage of staff believing that the organisation provides equal opportunities for career progression or promotion. The percentage gap between white staff and BME staff for this indicator indicates disparities with career progression and promotion">
              <a:extLst xmlns:a="http://schemas.openxmlformats.org/drawingml/2006/main">
                <a:ext uri="{FF2B5EF4-FFF2-40B4-BE49-F238E27FC236}">
                  <a16:creationId xmlns:a16="http://schemas.microsoft.com/office/drawing/2014/main" id="{6EC1A4F4-7F41-486B-7B7B-B3EB76960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able.7.0: Percentage of staff believing that the organisation provides equal opportunities for career progression or promotion. The percentage gap between white staff and BME staff for this indicator indicates disparities with career progression and promotion">
                      <a:extLst>
                        <a:ext uri="{FF2B5EF4-FFF2-40B4-BE49-F238E27FC236}">
                          <a16:creationId xmlns:a16="http://schemas.microsoft.com/office/drawing/2014/main" id="{6EC1A4F4-7F41-486B-7B7B-B3EB76960719}"/>
                        </a:ext>
                      </a:extLst>
                    </pic:cNvPr>
                    <pic:cNvPicPr>
                      <a:picLocks noChangeAspect="1"/>
                    </pic:cNvPicPr>
                  </pic:nvPicPr>
                  <pic:blipFill>
                    <a:blip r:embed="rId20"/>
                    <a:stretch>
                      <a:fillRect/>
                    </a:stretch>
                  </pic:blipFill>
                  <pic:spPr>
                    <a:xfrm>
                      <a:off x="0" y="0"/>
                      <a:ext cx="5731510" cy="2113830"/>
                    </a:xfrm>
                    <a:prstGeom prst="rect">
                      <a:avLst/>
                    </a:prstGeom>
                  </pic:spPr>
                </pic:pic>
              </a:graphicData>
            </a:graphic>
          </wp:inline>
        </w:drawing>
      </w:r>
    </w:p>
    <w:tbl>
      <w:tblPr>
        <w:tblW w:w="7760" w:type="dxa"/>
        <w:tblLook w:val="04A0" w:firstRow="1" w:lastRow="0" w:firstColumn="1" w:lastColumn="0" w:noHBand="0" w:noVBand="1"/>
      </w:tblPr>
      <w:tblGrid>
        <w:gridCol w:w="2960"/>
        <w:gridCol w:w="960"/>
        <w:gridCol w:w="960"/>
        <w:gridCol w:w="960"/>
        <w:gridCol w:w="960"/>
        <w:gridCol w:w="960"/>
      </w:tblGrid>
      <w:tr w:rsidR="00631A7C" w:rsidRPr="001C1754" w14:paraId="0CB87DE1" w14:textId="77777777" w:rsidTr="00631A7C">
        <w:trPr>
          <w:trHeight w:val="290"/>
        </w:trPr>
        <w:tc>
          <w:tcPr>
            <w:tcW w:w="2960" w:type="dxa"/>
            <w:tcBorders>
              <w:top w:val="single" w:sz="4" w:space="0" w:color="auto"/>
              <w:left w:val="single" w:sz="4" w:space="0" w:color="auto"/>
              <w:bottom w:val="single" w:sz="4" w:space="0" w:color="auto"/>
              <w:right w:val="single" w:sz="4" w:space="0" w:color="auto"/>
            </w:tcBorders>
            <w:noWrap/>
            <w:vAlign w:val="bottom"/>
            <w:hideMark/>
          </w:tcPr>
          <w:p w14:paraId="76A3E75B" w14:textId="77777777" w:rsidR="00631A7C" w:rsidRPr="001C1754" w:rsidRDefault="00631A7C" w:rsidP="001C1754">
            <w:pPr>
              <w:spacing w:after="0" w:line="240" w:lineRule="auto"/>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08EF765D" w14:textId="77777777" w:rsidR="00631A7C" w:rsidRPr="001C1754" w:rsidRDefault="00631A7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659C7B44" w14:textId="77777777" w:rsidR="00631A7C" w:rsidRPr="001C1754" w:rsidRDefault="00631A7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2021</w:t>
            </w:r>
          </w:p>
        </w:tc>
        <w:tc>
          <w:tcPr>
            <w:tcW w:w="960" w:type="dxa"/>
            <w:tcBorders>
              <w:top w:val="single" w:sz="4" w:space="0" w:color="auto"/>
              <w:left w:val="nil"/>
              <w:bottom w:val="single" w:sz="4" w:space="0" w:color="auto"/>
              <w:right w:val="single" w:sz="4" w:space="0" w:color="auto"/>
            </w:tcBorders>
            <w:noWrap/>
            <w:vAlign w:val="bottom"/>
            <w:hideMark/>
          </w:tcPr>
          <w:p w14:paraId="3F31C35C" w14:textId="77777777" w:rsidR="00631A7C" w:rsidRPr="001C1754" w:rsidRDefault="00631A7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73206A39" w14:textId="77777777" w:rsidR="00631A7C" w:rsidRPr="001C1754" w:rsidRDefault="00631A7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3D9809B0" w14:textId="77777777" w:rsidR="00631A7C" w:rsidRPr="001C1754" w:rsidRDefault="00631A7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2024</w:t>
            </w:r>
          </w:p>
        </w:tc>
      </w:tr>
      <w:tr w:rsidR="00631A7C" w:rsidRPr="001C1754" w14:paraId="11F5E1BB" w14:textId="77777777" w:rsidTr="00631A7C">
        <w:trPr>
          <w:trHeight w:val="290"/>
        </w:trPr>
        <w:tc>
          <w:tcPr>
            <w:tcW w:w="2960" w:type="dxa"/>
            <w:tcBorders>
              <w:top w:val="nil"/>
              <w:left w:val="single" w:sz="4" w:space="0" w:color="auto"/>
              <w:bottom w:val="single" w:sz="4" w:space="0" w:color="auto"/>
              <w:right w:val="single" w:sz="4" w:space="0" w:color="auto"/>
            </w:tcBorders>
            <w:noWrap/>
            <w:vAlign w:val="bottom"/>
            <w:hideMark/>
          </w:tcPr>
          <w:p w14:paraId="1CC1EB85" w14:textId="77777777" w:rsidR="00631A7C" w:rsidRPr="001C1754" w:rsidRDefault="00631A7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SWB</w:t>
            </w:r>
          </w:p>
        </w:tc>
        <w:tc>
          <w:tcPr>
            <w:tcW w:w="960" w:type="dxa"/>
            <w:tcBorders>
              <w:top w:val="nil"/>
              <w:left w:val="nil"/>
              <w:bottom w:val="single" w:sz="4" w:space="0" w:color="auto"/>
              <w:right w:val="single" w:sz="4" w:space="0" w:color="auto"/>
            </w:tcBorders>
            <w:noWrap/>
            <w:vAlign w:val="bottom"/>
            <w:hideMark/>
          </w:tcPr>
          <w:p w14:paraId="56750B6E"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57.09%</w:t>
            </w:r>
          </w:p>
        </w:tc>
        <w:tc>
          <w:tcPr>
            <w:tcW w:w="960" w:type="dxa"/>
            <w:tcBorders>
              <w:top w:val="nil"/>
              <w:left w:val="nil"/>
              <w:bottom w:val="single" w:sz="4" w:space="0" w:color="auto"/>
              <w:right w:val="single" w:sz="4" w:space="0" w:color="auto"/>
            </w:tcBorders>
            <w:noWrap/>
            <w:vAlign w:val="bottom"/>
            <w:hideMark/>
          </w:tcPr>
          <w:p w14:paraId="63446B0D"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58.61%</w:t>
            </w:r>
          </w:p>
        </w:tc>
        <w:tc>
          <w:tcPr>
            <w:tcW w:w="960" w:type="dxa"/>
            <w:tcBorders>
              <w:top w:val="nil"/>
              <w:left w:val="nil"/>
              <w:bottom w:val="single" w:sz="4" w:space="0" w:color="auto"/>
              <w:right w:val="single" w:sz="4" w:space="0" w:color="auto"/>
            </w:tcBorders>
            <w:noWrap/>
            <w:vAlign w:val="bottom"/>
            <w:hideMark/>
          </w:tcPr>
          <w:p w14:paraId="52CBC7BC"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59.40%</w:t>
            </w:r>
          </w:p>
        </w:tc>
        <w:tc>
          <w:tcPr>
            <w:tcW w:w="960" w:type="dxa"/>
            <w:tcBorders>
              <w:top w:val="nil"/>
              <w:left w:val="nil"/>
              <w:bottom w:val="single" w:sz="4" w:space="0" w:color="auto"/>
              <w:right w:val="single" w:sz="4" w:space="0" w:color="auto"/>
            </w:tcBorders>
            <w:noWrap/>
            <w:vAlign w:val="bottom"/>
            <w:hideMark/>
          </w:tcPr>
          <w:p w14:paraId="6EBA545B"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60.54%</w:t>
            </w:r>
          </w:p>
        </w:tc>
        <w:tc>
          <w:tcPr>
            <w:tcW w:w="960" w:type="dxa"/>
            <w:tcBorders>
              <w:top w:val="nil"/>
              <w:left w:val="nil"/>
              <w:bottom w:val="single" w:sz="4" w:space="0" w:color="auto"/>
              <w:right w:val="single" w:sz="4" w:space="0" w:color="auto"/>
            </w:tcBorders>
            <w:noWrap/>
            <w:vAlign w:val="bottom"/>
            <w:hideMark/>
          </w:tcPr>
          <w:p w14:paraId="7D4317D2"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60.89%</w:t>
            </w:r>
          </w:p>
        </w:tc>
      </w:tr>
      <w:tr w:rsidR="00631A7C" w:rsidRPr="001C1754" w14:paraId="4D158049" w14:textId="77777777" w:rsidTr="00631A7C">
        <w:trPr>
          <w:trHeight w:val="290"/>
        </w:trPr>
        <w:tc>
          <w:tcPr>
            <w:tcW w:w="2960" w:type="dxa"/>
            <w:tcBorders>
              <w:top w:val="nil"/>
              <w:left w:val="single" w:sz="4" w:space="0" w:color="auto"/>
              <w:bottom w:val="single" w:sz="4" w:space="0" w:color="auto"/>
              <w:right w:val="single" w:sz="4" w:space="0" w:color="auto"/>
            </w:tcBorders>
            <w:noWrap/>
            <w:vAlign w:val="bottom"/>
            <w:hideMark/>
          </w:tcPr>
          <w:p w14:paraId="20E181F3" w14:textId="77777777" w:rsidR="00631A7C" w:rsidRPr="001C1754" w:rsidRDefault="00631A7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All other ethnic groups SWB</w:t>
            </w:r>
          </w:p>
        </w:tc>
        <w:tc>
          <w:tcPr>
            <w:tcW w:w="960" w:type="dxa"/>
            <w:tcBorders>
              <w:top w:val="nil"/>
              <w:left w:val="nil"/>
              <w:bottom w:val="single" w:sz="4" w:space="0" w:color="auto"/>
              <w:right w:val="single" w:sz="4" w:space="0" w:color="auto"/>
            </w:tcBorders>
            <w:noWrap/>
            <w:vAlign w:val="bottom"/>
            <w:hideMark/>
          </w:tcPr>
          <w:p w14:paraId="064317E7"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42.82%</w:t>
            </w:r>
          </w:p>
        </w:tc>
        <w:tc>
          <w:tcPr>
            <w:tcW w:w="960" w:type="dxa"/>
            <w:tcBorders>
              <w:top w:val="nil"/>
              <w:left w:val="nil"/>
              <w:bottom w:val="single" w:sz="4" w:space="0" w:color="auto"/>
              <w:right w:val="single" w:sz="4" w:space="0" w:color="auto"/>
            </w:tcBorders>
            <w:noWrap/>
            <w:vAlign w:val="bottom"/>
            <w:hideMark/>
          </w:tcPr>
          <w:p w14:paraId="56F8BD7A"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41.29%</w:t>
            </w:r>
          </w:p>
        </w:tc>
        <w:tc>
          <w:tcPr>
            <w:tcW w:w="960" w:type="dxa"/>
            <w:tcBorders>
              <w:top w:val="nil"/>
              <w:left w:val="nil"/>
              <w:bottom w:val="single" w:sz="4" w:space="0" w:color="auto"/>
              <w:right w:val="single" w:sz="4" w:space="0" w:color="auto"/>
            </w:tcBorders>
            <w:noWrap/>
            <w:vAlign w:val="bottom"/>
            <w:hideMark/>
          </w:tcPr>
          <w:p w14:paraId="1F89D2E1"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40.95%</w:t>
            </w:r>
          </w:p>
        </w:tc>
        <w:tc>
          <w:tcPr>
            <w:tcW w:w="960" w:type="dxa"/>
            <w:tcBorders>
              <w:top w:val="nil"/>
              <w:left w:val="nil"/>
              <w:bottom w:val="single" w:sz="4" w:space="0" w:color="auto"/>
              <w:right w:val="single" w:sz="4" w:space="0" w:color="auto"/>
            </w:tcBorders>
            <w:noWrap/>
            <w:vAlign w:val="bottom"/>
            <w:hideMark/>
          </w:tcPr>
          <w:p w14:paraId="056BC840"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44.46%</w:t>
            </w:r>
          </w:p>
        </w:tc>
        <w:tc>
          <w:tcPr>
            <w:tcW w:w="960" w:type="dxa"/>
            <w:tcBorders>
              <w:top w:val="nil"/>
              <w:left w:val="nil"/>
              <w:bottom w:val="single" w:sz="4" w:space="0" w:color="auto"/>
              <w:right w:val="single" w:sz="4" w:space="0" w:color="auto"/>
            </w:tcBorders>
            <w:noWrap/>
            <w:vAlign w:val="bottom"/>
            <w:hideMark/>
          </w:tcPr>
          <w:p w14:paraId="12EDEFCE"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46.43%</w:t>
            </w:r>
          </w:p>
        </w:tc>
      </w:tr>
      <w:tr w:rsidR="00631A7C" w:rsidRPr="001C1754" w14:paraId="3B46C354" w14:textId="77777777" w:rsidTr="00631A7C">
        <w:trPr>
          <w:trHeight w:val="290"/>
        </w:trPr>
        <w:tc>
          <w:tcPr>
            <w:tcW w:w="2960" w:type="dxa"/>
            <w:tcBorders>
              <w:top w:val="nil"/>
              <w:left w:val="single" w:sz="4" w:space="0" w:color="auto"/>
              <w:bottom w:val="single" w:sz="4" w:space="0" w:color="auto"/>
              <w:right w:val="single" w:sz="4" w:space="0" w:color="auto"/>
            </w:tcBorders>
            <w:noWrap/>
            <w:vAlign w:val="bottom"/>
            <w:hideMark/>
          </w:tcPr>
          <w:p w14:paraId="4CE7512D" w14:textId="77777777" w:rsidR="00631A7C" w:rsidRPr="001C1754" w:rsidRDefault="00631A7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average</w:t>
            </w:r>
          </w:p>
        </w:tc>
        <w:tc>
          <w:tcPr>
            <w:tcW w:w="960" w:type="dxa"/>
            <w:tcBorders>
              <w:top w:val="nil"/>
              <w:left w:val="nil"/>
              <w:bottom w:val="single" w:sz="4" w:space="0" w:color="auto"/>
              <w:right w:val="single" w:sz="4" w:space="0" w:color="auto"/>
            </w:tcBorders>
            <w:noWrap/>
            <w:vAlign w:val="bottom"/>
            <w:hideMark/>
          </w:tcPr>
          <w:p w14:paraId="61221153"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59.39%</w:t>
            </w:r>
          </w:p>
        </w:tc>
        <w:tc>
          <w:tcPr>
            <w:tcW w:w="960" w:type="dxa"/>
            <w:tcBorders>
              <w:top w:val="nil"/>
              <w:left w:val="nil"/>
              <w:bottom w:val="single" w:sz="4" w:space="0" w:color="auto"/>
              <w:right w:val="single" w:sz="4" w:space="0" w:color="auto"/>
            </w:tcBorders>
            <w:noWrap/>
            <w:vAlign w:val="bottom"/>
            <w:hideMark/>
          </w:tcPr>
          <w:p w14:paraId="72FF7F28"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58.64%</w:t>
            </w:r>
          </w:p>
        </w:tc>
        <w:tc>
          <w:tcPr>
            <w:tcW w:w="960" w:type="dxa"/>
            <w:tcBorders>
              <w:top w:val="nil"/>
              <w:left w:val="nil"/>
              <w:bottom w:val="single" w:sz="4" w:space="0" w:color="auto"/>
              <w:right w:val="single" w:sz="4" w:space="0" w:color="auto"/>
            </w:tcBorders>
            <w:noWrap/>
            <w:vAlign w:val="bottom"/>
            <w:hideMark/>
          </w:tcPr>
          <w:p w14:paraId="4EBE11D9"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58.65%</w:t>
            </w:r>
          </w:p>
        </w:tc>
        <w:tc>
          <w:tcPr>
            <w:tcW w:w="960" w:type="dxa"/>
            <w:tcBorders>
              <w:top w:val="nil"/>
              <w:left w:val="nil"/>
              <w:bottom w:val="single" w:sz="4" w:space="0" w:color="auto"/>
              <w:right w:val="single" w:sz="4" w:space="0" w:color="auto"/>
            </w:tcBorders>
            <w:noWrap/>
            <w:vAlign w:val="bottom"/>
            <w:hideMark/>
          </w:tcPr>
          <w:p w14:paraId="6CBF9675"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58.84%</w:t>
            </w:r>
          </w:p>
        </w:tc>
        <w:tc>
          <w:tcPr>
            <w:tcW w:w="960" w:type="dxa"/>
            <w:tcBorders>
              <w:top w:val="nil"/>
              <w:left w:val="nil"/>
              <w:bottom w:val="single" w:sz="4" w:space="0" w:color="auto"/>
              <w:right w:val="single" w:sz="4" w:space="0" w:color="auto"/>
            </w:tcBorders>
            <w:noWrap/>
            <w:vAlign w:val="bottom"/>
            <w:hideMark/>
          </w:tcPr>
          <w:p w14:paraId="0CFC0489"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58.82%</w:t>
            </w:r>
          </w:p>
        </w:tc>
      </w:tr>
      <w:tr w:rsidR="00631A7C" w:rsidRPr="001C1754" w14:paraId="51BA05F7" w14:textId="77777777" w:rsidTr="00631A7C">
        <w:trPr>
          <w:trHeight w:val="290"/>
        </w:trPr>
        <w:tc>
          <w:tcPr>
            <w:tcW w:w="2960" w:type="dxa"/>
            <w:tcBorders>
              <w:top w:val="nil"/>
              <w:left w:val="single" w:sz="4" w:space="0" w:color="auto"/>
              <w:bottom w:val="single" w:sz="4" w:space="0" w:color="auto"/>
              <w:right w:val="single" w:sz="4" w:space="0" w:color="auto"/>
            </w:tcBorders>
            <w:noWrap/>
            <w:vAlign w:val="bottom"/>
            <w:hideMark/>
          </w:tcPr>
          <w:p w14:paraId="24C032E7" w14:textId="0076C1C4" w:rsidR="00631A7C" w:rsidRPr="001C1754" w:rsidRDefault="00631A7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 xml:space="preserve">All other ethnic </w:t>
            </w:r>
            <w:r w:rsidR="00403DC5" w:rsidRPr="001C1754">
              <w:rPr>
                <w:rFonts w:ascii="Aptos" w:eastAsia="Times New Roman" w:hAnsi="Aptos" w:cs="Arial"/>
                <w:color w:val="000000"/>
                <w:kern w:val="0"/>
                <w:sz w:val="22"/>
                <w:szCs w:val="22"/>
                <w:lang w:eastAsia="en-GB"/>
                <w14:ligatures w14:val="none"/>
              </w:rPr>
              <w:t>groups'</w:t>
            </w:r>
            <w:r w:rsidRPr="001C1754">
              <w:rPr>
                <w:rFonts w:ascii="Aptos" w:eastAsia="Times New Roman" w:hAnsi="Aptos" w:cs="Arial"/>
                <w:color w:val="000000"/>
                <w:kern w:val="0"/>
                <w:sz w:val="22"/>
                <w:szCs w:val="22"/>
                <w:lang w:eastAsia="en-GB"/>
                <w14:ligatures w14:val="none"/>
              </w:rPr>
              <w:t xml:space="preserve"> average</w:t>
            </w:r>
          </w:p>
        </w:tc>
        <w:tc>
          <w:tcPr>
            <w:tcW w:w="960" w:type="dxa"/>
            <w:tcBorders>
              <w:top w:val="nil"/>
              <w:left w:val="nil"/>
              <w:bottom w:val="single" w:sz="4" w:space="0" w:color="auto"/>
              <w:right w:val="single" w:sz="4" w:space="0" w:color="auto"/>
            </w:tcBorders>
            <w:noWrap/>
            <w:vAlign w:val="bottom"/>
            <w:hideMark/>
          </w:tcPr>
          <w:p w14:paraId="7C6D8308"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45.24%</w:t>
            </w:r>
          </w:p>
        </w:tc>
        <w:tc>
          <w:tcPr>
            <w:tcW w:w="960" w:type="dxa"/>
            <w:tcBorders>
              <w:top w:val="nil"/>
              <w:left w:val="nil"/>
              <w:bottom w:val="single" w:sz="4" w:space="0" w:color="auto"/>
              <w:right w:val="single" w:sz="4" w:space="0" w:color="auto"/>
            </w:tcBorders>
            <w:noWrap/>
            <w:vAlign w:val="bottom"/>
            <w:hideMark/>
          </w:tcPr>
          <w:p w14:paraId="1048D62D"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44.56%</w:t>
            </w:r>
          </w:p>
        </w:tc>
        <w:tc>
          <w:tcPr>
            <w:tcW w:w="960" w:type="dxa"/>
            <w:tcBorders>
              <w:top w:val="nil"/>
              <w:left w:val="nil"/>
              <w:bottom w:val="single" w:sz="4" w:space="0" w:color="auto"/>
              <w:right w:val="single" w:sz="4" w:space="0" w:color="auto"/>
            </w:tcBorders>
            <w:noWrap/>
            <w:vAlign w:val="bottom"/>
            <w:hideMark/>
          </w:tcPr>
          <w:p w14:paraId="554D3105"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47.00%</w:t>
            </w:r>
          </w:p>
        </w:tc>
        <w:tc>
          <w:tcPr>
            <w:tcW w:w="960" w:type="dxa"/>
            <w:tcBorders>
              <w:top w:val="nil"/>
              <w:left w:val="nil"/>
              <w:bottom w:val="single" w:sz="4" w:space="0" w:color="auto"/>
              <w:right w:val="single" w:sz="4" w:space="0" w:color="auto"/>
            </w:tcBorders>
            <w:noWrap/>
            <w:vAlign w:val="bottom"/>
            <w:hideMark/>
          </w:tcPr>
          <w:p w14:paraId="0D5E8142"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49.64%</w:t>
            </w:r>
          </w:p>
        </w:tc>
        <w:tc>
          <w:tcPr>
            <w:tcW w:w="960" w:type="dxa"/>
            <w:tcBorders>
              <w:top w:val="nil"/>
              <w:left w:val="nil"/>
              <w:bottom w:val="single" w:sz="4" w:space="0" w:color="auto"/>
              <w:right w:val="single" w:sz="4" w:space="0" w:color="auto"/>
            </w:tcBorders>
            <w:noWrap/>
            <w:vAlign w:val="bottom"/>
            <w:hideMark/>
          </w:tcPr>
          <w:p w14:paraId="7D917ECA"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49.70%</w:t>
            </w:r>
          </w:p>
        </w:tc>
      </w:tr>
      <w:tr w:rsidR="00631A7C" w:rsidRPr="001C1754" w14:paraId="4B2EC17A" w14:textId="77777777" w:rsidTr="00631A7C">
        <w:trPr>
          <w:trHeight w:val="290"/>
        </w:trPr>
        <w:tc>
          <w:tcPr>
            <w:tcW w:w="2960" w:type="dxa"/>
            <w:tcBorders>
              <w:top w:val="nil"/>
              <w:left w:val="single" w:sz="4" w:space="0" w:color="auto"/>
              <w:bottom w:val="single" w:sz="4" w:space="0" w:color="auto"/>
              <w:right w:val="single" w:sz="4" w:space="0" w:color="auto"/>
            </w:tcBorders>
            <w:noWrap/>
            <w:vAlign w:val="bottom"/>
            <w:hideMark/>
          </w:tcPr>
          <w:p w14:paraId="6883B4DC" w14:textId="77777777" w:rsidR="00631A7C" w:rsidRPr="001C1754" w:rsidRDefault="00631A7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responses</w:t>
            </w:r>
          </w:p>
        </w:tc>
        <w:tc>
          <w:tcPr>
            <w:tcW w:w="960" w:type="dxa"/>
            <w:tcBorders>
              <w:top w:val="nil"/>
              <w:left w:val="nil"/>
              <w:bottom w:val="single" w:sz="4" w:space="0" w:color="auto"/>
              <w:right w:val="single" w:sz="4" w:space="0" w:color="auto"/>
            </w:tcBorders>
            <w:noWrap/>
            <w:vAlign w:val="bottom"/>
            <w:hideMark/>
          </w:tcPr>
          <w:p w14:paraId="1FBE5DDA"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1417</w:t>
            </w:r>
          </w:p>
        </w:tc>
        <w:tc>
          <w:tcPr>
            <w:tcW w:w="960" w:type="dxa"/>
            <w:tcBorders>
              <w:top w:val="nil"/>
              <w:left w:val="nil"/>
              <w:bottom w:val="single" w:sz="4" w:space="0" w:color="auto"/>
              <w:right w:val="single" w:sz="4" w:space="0" w:color="auto"/>
            </w:tcBorders>
            <w:noWrap/>
            <w:vAlign w:val="bottom"/>
            <w:hideMark/>
          </w:tcPr>
          <w:p w14:paraId="65232652"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1556</w:t>
            </w:r>
          </w:p>
        </w:tc>
        <w:tc>
          <w:tcPr>
            <w:tcW w:w="960" w:type="dxa"/>
            <w:tcBorders>
              <w:top w:val="nil"/>
              <w:left w:val="nil"/>
              <w:bottom w:val="single" w:sz="4" w:space="0" w:color="auto"/>
              <w:right w:val="single" w:sz="4" w:space="0" w:color="auto"/>
            </w:tcBorders>
            <w:noWrap/>
            <w:vAlign w:val="bottom"/>
            <w:hideMark/>
          </w:tcPr>
          <w:p w14:paraId="1082057D"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1542</w:t>
            </w:r>
          </w:p>
        </w:tc>
        <w:tc>
          <w:tcPr>
            <w:tcW w:w="960" w:type="dxa"/>
            <w:tcBorders>
              <w:top w:val="nil"/>
              <w:left w:val="nil"/>
              <w:bottom w:val="single" w:sz="4" w:space="0" w:color="auto"/>
              <w:right w:val="single" w:sz="4" w:space="0" w:color="auto"/>
            </w:tcBorders>
            <w:noWrap/>
            <w:vAlign w:val="bottom"/>
            <w:hideMark/>
          </w:tcPr>
          <w:p w14:paraId="67193CE3"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1343</w:t>
            </w:r>
          </w:p>
        </w:tc>
        <w:tc>
          <w:tcPr>
            <w:tcW w:w="960" w:type="dxa"/>
            <w:tcBorders>
              <w:top w:val="nil"/>
              <w:left w:val="nil"/>
              <w:bottom w:val="single" w:sz="4" w:space="0" w:color="auto"/>
              <w:right w:val="single" w:sz="4" w:space="0" w:color="auto"/>
            </w:tcBorders>
            <w:noWrap/>
            <w:vAlign w:val="bottom"/>
            <w:hideMark/>
          </w:tcPr>
          <w:p w14:paraId="4E41BE4F"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1570</w:t>
            </w:r>
          </w:p>
        </w:tc>
      </w:tr>
      <w:tr w:rsidR="00631A7C" w:rsidRPr="001C1754" w14:paraId="1D0A5B80" w14:textId="77777777" w:rsidTr="00631A7C">
        <w:trPr>
          <w:trHeight w:val="290"/>
        </w:trPr>
        <w:tc>
          <w:tcPr>
            <w:tcW w:w="2960" w:type="dxa"/>
            <w:tcBorders>
              <w:top w:val="nil"/>
              <w:left w:val="single" w:sz="4" w:space="0" w:color="auto"/>
              <w:bottom w:val="single" w:sz="4" w:space="0" w:color="auto"/>
              <w:right w:val="single" w:sz="4" w:space="0" w:color="auto"/>
            </w:tcBorders>
            <w:noWrap/>
            <w:vAlign w:val="bottom"/>
            <w:hideMark/>
          </w:tcPr>
          <w:p w14:paraId="5BC14AEC" w14:textId="77777777" w:rsidR="00631A7C" w:rsidRPr="001C1754" w:rsidRDefault="00631A7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All other ethnic group responses</w:t>
            </w:r>
          </w:p>
        </w:tc>
        <w:tc>
          <w:tcPr>
            <w:tcW w:w="960" w:type="dxa"/>
            <w:tcBorders>
              <w:top w:val="nil"/>
              <w:left w:val="nil"/>
              <w:bottom w:val="single" w:sz="4" w:space="0" w:color="auto"/>
              <w:right w:val="single" w:sz="4" w:space="0" w:color="auto"/>
            </w:tcBorders>
            <w:noWrap/>
            <w:vAlign w:val="bottom"/>
            <w:hideMark/>
          </w:tcPr>
          <w:p w14:paraId="21642544"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780</w:t>
            </w:r>
          </w:p>
        </w:tc>
        <w:tc>
          <w:tcPr>
            <w:tcW w:w="960" w:type="dxa"/>
            <w:tcBorders>
              <w:top w:val="nil"/>
              <w:left w:val="nil"/>
              <w:bottom w:val="single" w:sz="4" w:space="0" w:color="auto"/>
              <w:right w:val="single" w:sz="4" w:space="0" w:color="auto"/>
            </w:tcBorders>
            <w:noWrap/>
            <w:vAlign w:val="bottom"/>
            <w:hideMark/>
          </w:tcPr>
          <w:p w14:paraId="19F659E7"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976</w:t>
            </w:r>
          </w:p>
        </w:tc>
        <w:tc>
          <w:tcPr>
            <w:tcW w:w="960" w:type="dxa"/>
            <w:tcBorders>
              <w:top w:val="nil"/>
              <w:left w:val="nil"/>
              <w:bottom w:val="single" w:sz="4" w:space="0" w:color="auto"/>
              <w:right w:val="single" w:sz="4" w:space="0" w:color="auto"/>
            </w:tcBorders>
            <w:noWrap/>
            <w:vAlign w:val="bottom"/>
            <w:hideMark/>
          </w:tcPr>
          <w:p w14:paraId="1AE3AF3D"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1094</w:t>
            </w:r>
          </w:p>
        </w:tc>
        <w:tc>
          <w:tcPr>
            <w:tcW w:w="960" w:type="dxa"/>
            <w:tcBorders>
              <w:top w:val="nil"/>
              <w:left w:val="nil"/>
              <w:bottom w:val="single" w:sz="4" w:space="0" w:color="auto"/>
              <w:right w:val="single" w:sz="4" w:space="0" w:color="auto"/>
            </w:tcBorders>
            <w:noWrap/>
            <w:vAlign w:val="bottom"/>
            <w:hideMark/>
          </w:tcPr>
          <w:p w14:paraId="2BC6731B"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902</w:t>
            </w:r>
          </w:p>
        </w:tc>
        <w:tc>
          <w:tcPr>
            <w:tcW w:w="960" w:type="dxa"/>
            <w:tcBorders>
              <w:top w:val="nil"/>
              <w:left w:val="nil"/>
              <w:bottom w:val="single" w:sz="4" w:space="0" w:color="auto"/>
              <w:right w:val="single" w:sz="4" w:space="0" w:color="auto"/>
            </w:tcBorders>
            <w:noWrap/>
            <w:vAlign w:val="bottom"/>
            <w:hideMark/>
          </w:tcPr>
          <w:p w14:paraId="773A9245" w14:textId="77777777" w:rsidR="00631A7C" w:rsidRPr="001C1754" w:rsidRDefault="00631A7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1092</w:t>
            </w:r>
          </w:p>
        </w:tc>
      </w:tr>
    </w:tbl>
    <w:p w14:paraId="103AB096" w14:textId="77777777" w:rsidR="00010D26" w:rsidRPr="001C1754" w:rsidRDefault="00010D26" w:rsidP="001C1754">
      <w:pPr>
        <w:spacing w:after="0" w:line="240" w:lineRule="auto"/>
        <w:jc w:val="both"/>
        <w:rPr>
          <w:rFonts w:ascii="Aptos" w:hAnsi="Aptos" w:cs="Arial"/>
        </w:rPr>
      </w:pPr>
    </w:p>
    <w:p w14:paraId="1C0510C3" w14:textId="462733BE" w:rsidR="00FF64D5" w:rsidRDefault="00631A7C" w:rsidP="00BF35E9">
      <w:pPr>
        <w:spacing w:after="0" w:line="240" w:lineRule="auto"/>
        <w:rPr>
          <w:rFonts w:ascii="Aptos" w:hAnsi="Aptos" w:cs="Arial"/>
        </w:rPr>
      </w:pPr>
      <w:r w:rsidRPr="001C1754">
        <w:rPr>
          <w:rFonts w:ascii="Aptos" w:hAnsi="Aptos" w:cs="Arial"/>
        </w:rPr>
        <w:t>The percentage gap between white staff and BME staff for this indicator indicates disparities with career progression and promotion; however, a focused programme of work through the Inclusive Talent Management and Resourcing Workstream is currently underway to support improvements.</w:t>
      </w:r>
    </w:p>
    <w:p w14:paraId="3F3380CB" w14:textId="77777777" w:rsidR="001009AE" w:rsidRPr="001C1754" w:rsidRDefault="001009AE" w:rsidP="00BF35E9">
      <w:pPr>
        <w:spacing w:after="0" w:line="240" w:lineRule="auto"/>
        <w:rPr>
          <w:rFonts w:ascii="Aptos" w:hAnsi="Aptos" w:cs="Arial"/>
        </w:rPr>
      </w:pPr>
    </w:p>
    <w:p w14:paraId="001068B4" w14:textId="3DFF44CA" w:rsidR="001009AE" w:rsidRPr="001009AE" w:rsidRDefault="00FF64D5" w:rsidP="00BF35E9">
      <w:pPr>
        <w:pStyle w:val="Heading1"/>
        <w:spacing w:before="0" w:after="0" w:line="240" w:lineRule="auto"/>
        <w:rPr>
          <w:rFonts w:ascii="Aptos" w:hAnsi="Aptos" w:cs="Arial"/>
        </w:rPr>
      </w:pPr>
      <w:bookmarkStart w:id="15" w:name="_Toc196746737"/>
      <w:r w:rsidRPr="001C1754">
        <w:rPr>
          <w:rFonts w:ascii="Aptos" w:hAnsi="Aptos" w:cs="Arial"/>
        </w:rPr>
        <w:t>Metric 8 - The percentage of staff who personally experienced discrimination at work from a manager, team leader or other colleagues</w:t>
      </w:r>
      <w:bookmarkEnd w:id="15"/>
    </w:p>
    <w:p w14:paraId="4E5F5155" w14:textId="12961C81" w:rsidR="00EB56BC" w:rsidRPr="001C1754" w:rsidRDefault="00FF64D5" w:rsidP="00BF35E9">
      <w:pPr>
        <w:spacing w:after="0" w:line="240" w:lineRule="auto"/>
        <w:rPr>
          <w:rFonts w:ascii="Aptos" w:hAnsi="Aptos" w:cs="Arial"/>
        </w:rPr>
      </w:pPr>
      <w:r w:rsidRPr="001C1754">
        <w:rPr>
          <w:rFonts w:ascii="Aptos" w:hAnsi="Aptos" w:cs="Arial"/>
        </w:rPr>
        <w:t xml:space="preserve">The percentage of staff reporting discrimination from a manager, team leader, or other colleagues has </w:t>
      </w:r>
      <w:r w:rsidR="00010D26" w:rsidRPr="001C1754">
        <w:rPr>
          <w:rFonts w:ascii="Aptos" w:hAnsi="Aptos" w:cs="Arial"/>
        </w:rPr>
        <w:t>remained static since the previous reporting year.</w:t>
      </w:r>
      <w:r w:rsidRPr="001C1754">
        <w:rPr>
          <w:rFonts w:ascii="Aptos" w:hAnsi="Aptos" w:cs="Arial"/>
        </w:rPr>
        <w:t xml:space="preserve"> Among staff from </w:t>
      </w:r>
      <w:r w:rsidR="00010D26" w:rsidRPr="001C1754">
        <w:rPr>
          <w:rFonts w:ascii="Aptos" w:hAnsi="Aptos" w:cs="Arial"/>
        </w:rPr>
        <w:t xml:space="preserve">BME backgrounds, </w:t>
      </w:r>
      <w:r w:rsidRPr="001C1754">
        <w:rPr>
          <w:rFonts w:ascii="Aptos" w:hAnsi="Aptos" w:cs="Arial"/>
        </w:rPr>
        <w:t xml:space="preserve">the rate stands at </w:t>
      </w:r>
      <w:r w:rsidR="00010D26" w:rsidRPr="001C1754">
        <w:rPr>
          <w:rFonts w:ascii="Aptos" w:hAnsi="Aptos" w:cs="Arial"/>
        </w:rPr>
        <w:t>15.0%</w:t>
      </w:r>
      <w:r w:rsidRPr="001C1754">
        <w:rPr>
          <w:rFonts w:ascii="Aptos" w:hAnsi="Aptos" w:cs="Arial"/>
        </w:rPr>
        <w:t xml:space="preserve"> for 2024</w:t>
      </w:r>
      <w:r w:rsidR="00010D26" w:rsidRPr="001C1754">
        <w:rPr>
          <w:rFonts w:ascii="Aptos" w:hAnsi="Aptos" w:cs="Arial"/>
        </w:rPr>
        <w:t>,</w:t>
      </w:r>
      <w:r w:rsidRPr="001C1754">
        <w:rPr>
          <w:rFonts w:ascii="Aptos" w:hAnsi="Aptos" w:cs="Arial"/>
        </w:rPr>
        <w:t xml:space="preserve"> while for staff from white </w:t>
      </w:r>
      <w:r w:rsidR="00EB56BC" w:rsidRPr="001C1754">
        <w:rPr>
          <w:rFonts w:ascii="Aptos" w:hAnsi="Aptos" w:cs="Arial"/>
        </w:rPr>
        <w:t>backgroun</w:t>
      </w:r>
      <w:r w:rsidRPr="001C1754">
        <w:rPr>
          <w:rFonts w:ascii="Aptos" w:hAnsi="Aptos" w:cs="Arial"/>
        </w:rPr>
        <w:t xml:space="preserve">ds, it is </w:t>
      </w:r>
      <w:r w:rsidR="00010D26" w:rsidRPr="001C1754">
        <w:rPr>
          <w:rFonts w:ascii="Aptos" w:hAnsi="Aptos" w:cs="Arial"/>
        </w:rPr>
        <w:t xml:space="preserve">6.3% </w:t>
      </w:r>
      <w:r w:rsidRPr="001C1754">
        <w:rPr>
          <w:rFonts w:ascii="Aptos" w:hAnsi="Aptos" w:cs="Arial"/>
        </w:rPr>
        <w:t>in 202</w:t>
      </w:r>
      <w:r w:rsidR="00010D26" w:rsidRPr="001C1754">
        <w:rPr>
          <w:rFonts w:ascii="Aptos" w:hAnsi="Aptos" w:cs="Arial"/>
        </w:rPr>
        <w:t>5</w:t>
      </w:r>
      <w:r w:rsidRPr="001C1754">
        <w:rPr>
          <w:rFonts w:ascii="Aptos" w:hAnsi="Aptos" w:cs="Arial"/>
        </w:rPr>
        <w:t xml:space="preserve">, reflecting </w:t>
      </w:r>
      <w:r w:rsidR="00010D26" w:rsidRPr="001C1754">
        <w:rPr>
          <w:rFonts w:ascii="Aptos" w:hAnsi="Aptos" w:cs="Arial"/>
        </w:rPr>
        <w:t>the</w:t>
      </w:r>
      <w:r w:rsidRPr="001C1754">
        <w:rPr>
          <w:rFonts w:ascii="Aptos" w:hAnsi="Aptos" w:cs="Arial"/>
        </w:rPr>
        <w:t xml:space="preserve"> disparity between the two groups</w:t>
      </w:r>
      <w:r w:rsidR="00EB56BC" w:rsidRPr="001C1754">
        <w:rPr>
          <w:rFonts w:ascii="Aptos" w:hAnsi="Aptos" w:cs="Arial"/>
        </w:rPr>
        <w:t>.</w:t>
      </w:r>
    </w:p>
    <w:p w14:paraId="7819F4CA" w14:textId="77777777" w:rsidR="001009AE" w:rsidRDefault="001009AE" w:rsidP="001C1754">
      <w:pPr>
        <w:spacing w:after="0" w:line="240" w:lineRule="auto"/>
        <w:jc w:val="both"/>
        <w:rPr>
          <w:rFonts w:ascii="Aptos" w:hAnsi="Aptos" w:cs="Arial"/>
        </w:rPr>
      </w:pPr>
    </w:p>
    <w:p w14:paraId="2FB3C14C" w14:textId="77777777" w:rsidR="001009AE" w:rsidRDefault="001009AE" w:rsidP="001C1754">
      <w:pPr>
        <w:spacing w:after="0" w:line="240" w:lineRule="auto"/>
        <w:jc w:val="both"/>
        <w:rPr>
          <w:rFonts w:ascii="Aptos" w:hAnsi="Aptos" w:cs="Arial"/>
        </w:rPr>
      </w:pPr>
    </w:p>
    <w:p w14:paraId="6E1202C0" w14:textId="77777777" w:rsidR="001009AE" w:rsidRDefault="001009AE" w:rsidP="001C1754">
      <w:pPr>
        <w:spacing w:after="0" w:line="240" w:lineRule="auto"/>
        <w:jc w:val="both"/>
        <w:rPr>
          <w:rFonts w:ascii="Aptos" w:hAnsi="Aptos" w:cs="Arial"/>
        </w:rPr>
      </w:pPr>
    </w:p>
    <w:p w14:paraId="1299559D" w14:textId="77777777" w:rsidR="001009AE" w:rsidRDefault="001009AE" w:rsidP="001C1754">
      <w:pPr>
        <w:spacing w:after="0" w:line="240" w:lineRule="auto"/>
        <w:jc w:val="both"/>
        <w:rPr>
          <w:rFonts w:ascii="Aptos" w:hAnsi="Aptos" w:cs="Arial"/>
        </w:rPr>
      </w:pPr>
    </w:p>
    <w:p w14:paraId="4A17D2E5" w14:textId="77777777" w:rsidR="001009AE" w:rsidRDefault="001009AE" w:rsidP="001C1754">
      <w:pPr>
        <w:spacing w:after="0" w:line="240" w:lineRule="auto"/>
        <w:jc w:val="both"/>
        <w:rPr>
          <w:rFonts w:ascii="Aptos" w:hAnsi="Aptos" w:cs="Arial"/>
        </w:rPr>
      </w:pPr>
    </w:p>
    <w:p w14:paraId="18ACC455" w14:textId="77777777" w:rsidR="001009AE" w:rsidRDefault="001009AE" w:rsidP="001C1754">
      <w:pPr>
        <w:spacing w:after="0" w:line="240" w:lineRule="auto"/>
        <w:jc w:val="both"/>
        <w:rPr>
          <w:rFonts w:ascii="Aptos" w:hAnsi="Aptos" w:cs="Arial"/>
        </w:rPr>
      </w:pPr>
    </w:p>
    <w:p w14:paraId="098A5AA1" w14:textId="77777777" w:rsidR="001009AE" w:rsidRDefault="001009AE" w:rsidP="001C1754">
      <w:pPr>
        <w:spacing w:after="0" w:line="240" w:lineRule="auto"/>
        <w:jc w:val="both"/>
        <w:rPr>
          <w:rFonts w:ascii="Aptos" w:hAnsi="Aptos" w:cs="Arial"/>
        </w:rPr>
      </w:pPr>
    </w:p>
    <w:p w14:paraId="08DFBF4C" w14:textId="77777777" w:rsidR="001009AE" w:rsidRDefault="001009AE" w:rsidP="001C1754">
      <w:pPr>
        <w:spacing w:after="0" w:line="240" w:lineRule="auto"/>
        <w:jc w:val="both"/>
        <w:rPr>
          <w:rFonts w:ascii="Aptos" w:hAnsi="Aptos" w:cs="Arial"/>
        </w:rPr>
      </w:pPr>
    </w:p>
    <w:p w14:paraId="3DBE7D92" w14:textId="77777777" w:rsidR="001009AE" w:rsidRDefault="001009AE" w:rsidP="001C1754">
      <w:pPr>
        <w:spacing w:after="0" w:line="240" w:lineRule="auto"/>
        <w:jc w:val="both"/>
        <w:rPr>
          <w:rFonts w:ascii="Aptos" w:hAnsi="Aptos" w:cs="Arial"/>
        </w:rPr>
      </w:pPr>
    </w:p>
    <w:p w14:paraId="1EC7042C" w14:textId="77777777" w:rsidR="001009AE" w:rsidRDefault="001009AE" w:rsidP="001C1754">
      <w:pPr>
        <w:spacing w:after="0" w:line="240" w:lineRule="auto"/>
        <w:jc w:val="both"/>
        <w:rPr>
          <w:rFonts w:ascii="Aptos" w:hAnsi="Aptos" w:cs="Arial"/>
        </w:rPr>
      </w:pPr>
    </w:p>
    <w:p w14:paraId="16D0B2DA" w14:textId="77777777" w:rsidR="001009AE" w:rsidRDefault="001009AE" w:rsidP="001C1754">
      <w:pPr>
        <w:spacing w:after="0" w:line="240" w:lineRule="auto"/>
        <w:jc w:val="both"/>
        <w:rPr>
          <w:rFonts w:ascii="Aptos" w:hAnsi="Aptos" w:cs="Arial"/>
        </w:rPr>
      </w:pPr>
    </w:p>
    <w:p w14:paraId="17435399" w14:textId="77777777" w:rsidR="001009AE" w:rsidRDefault="001009AE" w:rsidP="001C1754">
      <w:pPr>
        <w:spacing w:after="0" w:line="240" w:lineRule="auto"/>
        <w:jc w:val="both"/>
        <w:rPr>
          <w:rFonts w:ascii="Aptos" w:hAnsi="Aptos" w:cs="Arial"/>
        </w:rPr>
      </w:pPr>
    </w:p>
    <w:p w14:paraId="0A10AF7E" w14:textId="77777777" w:rsidR="001009AE" w:rsidRDefault="001009AE" w:rsidP="001C1754">
      <w:pPr>
        <w:spacing w:after="0" w:line="240" w:lineRule="auto"/>
        <w:jc w:val="both"/>
        <w:rPr>
          <w:rFonts w:ascii="Aptos" w:hAnsi="Aptos" w:cs="Arial"/>
        </w:rPr>
      </w:pPr>
    </w:p>
    <w:p w14:paraId="05C81B88" w14:textId="4CA0C84B" w:rsidR="00403DC5" w:rsidRPr="001C1754" w:rsidRDefault="00403DC5" w:rsidP="001C1754">
      <w:pPr>
        <w:spacing w:after="0" w:line="240" w:lineRule="auto"/>
        <w:jc w:val="both"/>
        <w:rPr>
          <w:rFonts w:ascii="Aptos" w:hAnsi="Aptos" w:cs="Arial"/>
        </w:rPr>
      </w:pPr>
      <w:r w:rsidRPr="001C1754">
        <w:rPr>
          <w:rFonts w:ascii="Aptos" w:hAnsi="Aptos" w:cs="Arial"/>
        </w:rPr>
        <w:t>Table 8.0</w:t>
      </w:r>
    </w:p>
    <w:p w14:paraId="38C38628" w14:textId="0C911447" w:rsidR="00EB56BC" w:rsidRPr="001C1754" w:rsidRDefault="00EB56BC" w:rsidP="001C1754">
      <w:pPr>
        <w:spacing w:after="0" w:line="240" w:lineRule="auto"/>
        <w:jc w:val="both"/>
        <w:rPr>
          <w:rFonts w:ascii="Aptos" w:hAnsi="Aptos" w:cs="Arial"/>
        </w:rPr>
      </w:pPr>
      <w:r w:rsidRPr="001C1754">
        <w:rPr>
          <w:rFonts w:ascii="Aptos" w:hAnsi="Aptos" w:cs="Arial"/>
          <w:noProof/>
        </w:rPr>
        <w:drawing>
          <wp:inline distT="0" distB="0" distL="0" distR="0" wp14:anchorId="34C3A4C9" wp14:editId="638DC27B">
            <wp:extent cx="5731510" cy="2078355"/>
            <wp:effectExtent l="0" t="0" r="2540" b="0"/>
            <wp:docPr id="12" name="Picture 11" descr="Table 8.0: Percentage of staff experiencing  discrimination at work from manager/team leader or other colleagues in the last 10 month. The percentage of staff reporting discrimination from a manager, team leader, or other colleagues has remained static since the previous reporting year. ">
              <a:extLst xmlns:a="http://schemas.openxmlformats.org/drawingml/2006/main">
                <a:ext uri="{FF2B5EF4-FFF2-40B4-BE49-F238E27FC236}">
                  <a16:creationId xmlns:a16="http://schemas.microsoft.com/office/drawing/2014/main" id="{BD0BA989-5C8A-9D75-7FDF-82B979236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able 8.0: Percentage of staff experiencing  discrimination at work from manager/team leader or other colleagues in the last 10 month. The percentage of staff reporting discrimination from a manager, team leader, or other colleagues has remained static since the previous reporting year. ">
                      <a:extLst>
                        <a:ext uri="{FF2B5EF4-FFF2-40B4-BE49-F238E27FC236}">
                          <a16:creationId xmlns:a16="http://schemas.microsoft.com/office/drawing/2014/main" id="{BD0BA989-5C8A-9D75-7FDF-82B97923607E}"/>
                        </a:ext>
                      </a:extLst>
                    </pic:cNvPr>
                    <pic:cNvPicPr>
                      <a:picLocks noChangeAspect="1"/>
                    </pic:cNvPicPr>
                  </pic:nvPicPr>
                  <pic:blipFill>
                    <a:blip r:embed="rId21"/>
                    <a:stretch>
                      <a:fillRect/>
                    </a:stretch>
                  </pic:blipFill>
                  <pic:spPr>
                    <a:xfrm>
                      <a:off x="0" y="0"/>
                      <a:ext cx="5731510" cy="2078355"/>
                    </a:xfrm>
                    <a:prstGeom prst="rect">
                      <a:avLst/>
                    </a:prstGeom>
                  </pic:spPr>
                </pic:pic>
              </a:graphicData>
            </a:graphic>
          </wp:inline>
        </w:drawing>
      </w:r>
    </w:p>
    <w:p w14:paraId="1D173097" w14:textId="77777777" w:rsidR="00EB56BC" w:rsidRPr="001C1754" w:rsidRDefault="00EB56BC" w:rsidP="001C1754">
      <w:pPr>
        <w:spacing w:after="0" w:line="240" w:lineRule="auto"/>
        <w:jc w:val="both"/>
        <w:rPr>
          <w:rFonts w:ascii="Aptos" w:hAnsi="Aptos" w:cs="Arial"/>
        </w:rPr>
      </w:pPr>
    </w:p>
    <w:tbl>
      <w:tblPr>
        <w:tblW w:w="7760" w:type="dxa"/>
        <w:tblLook w:val="04A0" w:firstRow="1" w:lastRow="0" w:firstColumn="1" w:lastColumn="0" w:noHBand="0" w:noVBand="1"/>
      </w:tblPr>
      <w:tblGrid>
        <w:gridCol w:w="2960"/>
        <w:gridCol w:w="960"/>
        <w:gridCol w:w="960"/>
        <w:gridCol w:w="960"/>
        <w:gridCol w:w="960"/>
        <w:gridCol w:w="960"/>
      </w:tblGrid>
      <w:tr w:rsidR="00EB56BC" w:rsidRPr="001C1754" w14:paraId="06CF49E4" w14:textId="77777777" w:rsidTr="00EB56BC">
        <w:trPr>
          <w:trHeight w:val="290"/>
        </w:trPr>
        <w:tc>
          <w:tcPr>
            <w:tcW w:w="2960" w:type="dxa"/>
            <w:tcBorders>
              <w:top w:val="single" w:sz="4" w:space="0" w:color="auto"/>
              <w:left w:val="single" w:sz="4" w:space="0" w:color="auto"/>
              <w:bottom w:val="single" w:sz="4" w:space="0" w:color="auto"/>
              <w:right w:val="single" w:sz="4" w:space="0" w:color="auto"/>
            </w:tcBorders>
            <w:noWrap/>
            <w:vAlign w:val="bottom"/>
            <w:hideMark/>
          </w:tcPr>
          <w:p w14:paraId="0647F390" w14:textId="77777777" w:rsidR="00EB56BC" w:rsidRPr="001C1754" w:rsidRDefault="00EB56BC" w:rsidP="001C1754">
            <w:pPr>
              <w:spacing w:after="0" w:line="240" w:lineRule="auto"/>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11578A25" w14:textId="77777777" w:rsidR="00EB56BC" w:rsidRPr="001C1754" w:rsidRDefault="00EB56B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665B7512" w14:textId="77777777" w:rsidR="00EB56BC" w:rsidRPr="001C1754" w:rsidRDefault="00EB56B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2021</w:t>
            </w:r>
          </w:p>
        </w:tc>
        <w:tc>
          <w:tcPr>
            <w:tcW w:w="960" w:type="dxa"/>
            <w:tcBorders>
              <w:top w:val="single" w:sz="4" w:space="0" w:color="auto"/>
              <w:left w:val="nil"/>
              <w:bottom w:val="single" w:sz="4" w:space="0" w:color="auto"/>
              <w:right w:val="single" w:sz="4" w:space="0" w:color="auto"/>
            </w:tcBorders>
            <w:noWrap/>
            <w:vAlign w:val="bottom"/>
            <w:hideMark/>
          </w:tcPr>
          <w:p w14:paraId="5DA72641" w14:textId="77777777" w:rsidR="00EB56BC" w:rsidRPr="001C1754" w:rsidRDefault="00EB56B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707368F9" w14:textId="77777777" w:rsidR="00EB56BC" w:rsidRPr="001C1754" w:rsidRDefault="00EB56B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168EFEBD" w14:textId="77777777" w:rsidR="00EB56BC" w:rsidRPr="001C1754" w:rsidRDefault="00EB56BC" w:rsidP="001C1754">
            <w:pPr>
              <w:spacing w:after="0" w:line="240" w:lineRule="auto"/>
              <w:jc w:val="right"/>
              <w:rPr>
                <w:rFonts w:ascii="Aptos" w:eastAsia="Times New Roman" w:hAnsi="Aptos" w:cs="Arial"/>
                <w:b/>
                <w:bCs/>
                <w:color w:val="000000"/>
                <w:kern w:val="0"/>
                <w:sz w:val="22"/>
                <w:szCs w:val="22"/>
                <w:lang w:eastAsia="en-GB"/>
                <w14:ligatures w14:val="none"/>
              </w:rPr>
            </w:pPr>
            <w:r w:rsidRPr="001C1754">
              <w:rPr>
                <w:rFonts w:ascii="Aptos" w:eastAsia="Times New Roman" w:hAnsi="Aptos" w:cs="Arial"/>
                <w:b/>
                <w:bCs/>
                <w:color w:val="000000"/>
                <w:kern w:val="0"/>
                <w:sz w:val="22"/>
                <w:szCs w:val="22"/>
                <w:lang w:eastAsia="en-GB"/>
                <w14:ligatures w14:val="none"/>
              </w:rPr>
              <w:t>2024</w:t>
            </w:r>
          </w:p>
        </w:tc>
      </w:tr>
      <w:tr w:rsidR="00EB56BC" w:rsidRPr="001C1754" w14:paraId="30605F7A" w14:textId="77777777" w:rsidTr="00EB56BC">
        <w:trPr>
          <w:trHeight w:val="290"/>
        </w:trPr>
        <w:tc>
          <w:tcPr>
            <w:tcW w:w="2960" w:type="dxa"/>
            <w:tcBorders>
              <w:top w:val="nil"/>
              <w:left w:val="single" w:sz="4" w:space="0" w:color="auto"/>
              <w:bottom w:val="single" w:sz="4" w:space="0" w:color="auto"/>
              <w:right w:val="single" w:sz="4" w:space="0" w:color="auto"/>
            </w:tcBorders>
            <w:noWrap/>
            <w:vAlign w:val="bottom"/>
            <w:hideMark/>
          </w:tcPr>
          <w:p w14:paraId="59527044" w14:textId="77777777" w:rsidR="00EB56BC" w:rsidRPr="001C1754" w:rsidRDefault="00EB56B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SWB</w:t>
            </w:r>
          </w:p>
        </w:tc>
        <w:tc>
          <w:tcPr>
            <w:tcW w:w="960" w:type="dxa"/>
            <w:tcBorders>
              <w:top w:val="nil"/>
              <w:left w:val="nil"/>
              <w:bottom w:val="single" w:sz="4" w:space="0" w:color="auto"/>
              <w:right w:val="single" w:sz="4" w:space="0" w:color="auto"/>
            </w:tcBorders>
            <w:noWrap/>
            <w:vAlign w:val="bottom"/>
            <w:hideMark/>
          </w:tcPr>
          <w:p w14:paraId="4AA9C2A2"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6.27%</w:t>
            </w:r>
          </w:p>
        </w:tc>
        <w:tc>
          <w:tcPr>
            <w:tcW w:w="960" w:type="dxa"/>
            <w:tcBorders>
              <w:top w:val="nil"/>
              <w:left w:val="nil"/>
              <w:bottom w:val="single" w:sz="4" w:space="0" w:color="auto"/>
              <w:right w:val="single" w:sz="4" w:space="0" w:color="auto"/>
            </w:tcBorders>
            <w:noWrap/>
            <w:vAlign w:val="bottom"/>
            <w:hideMark/>
          </w:tcPr>
          <w:p w14:paraId="6D9CAA33"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7.90%</w:t>
            </w:r>
          </w:p>
        </w:tc>
        <w:tc>
          <w:tcPr>
            <w:tcW w:w="960" w:type="dxa"/>
            <w:tcBorders>
              <w:top w:val="nil"/>
              <w:left w:val="nil"/>
              <w:bottom w:val="single" w:sz="4" w:space="0" w:color="auto"/>
              <w:right w:val="single" w:sz="4" w:space="0" w:color="auto"/>
            </w:tcBorders>
            <w:noWrap/>
            <w:vAlign w:val="bottom"/>
            <w:hideMark/>
          </w:tcPr>
          <w:p w14:paraId="2E3A4F34"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7.89%</w:t>
            </w:r>
          </w:p>
        </w:tc>
        <w:tc>
          <w:tcPr>
            <w:tcW w:w="960" w:type="dxa"/>
            <w:tcBorders>
              <w:top w:val="nil"/>
              <w:left w:val="nil"/>
              <w:bottom w:val="single" w:sz="4" w:space="0" w:color="auto"/>
              <w:right w:val="single" w:sz="4" w:space="0" w:color="auto"/>
            </w:tcBorders>
            <w:noWrap/>
            <w:vAlign w:val="bottom"/>
            <w:hideMark/>
          </w:tcPr>
          <w:p w14:paraId="0DFD4E4B"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6.78%</w:t>
            </w:r>
          </w:p>
        </w:tc>
        <w:tc>
          <w:tcPr>
            <w:tcW w:w="960" w:type="dxa"/>
            <w:tcBorders>
              <w:top w:val="nil"/>
              <w:left w:val="nil"/>
              <w:bottom w:val="single" w:sz="4" w:space="0" w:color="auto"/>
              <w:right w:val="single" w:sz="4" w:space="0" w:color="auto"/>
            </w:tcBorders>
            <w:noWrap/>
            <w:vAlign w:val="bottom"/>
            <w:hideMark/>
          </w:tcPr>
          <w:p w14:paraId="49B142E6"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6.28%</w:t>
            </w:r>
          </w:p>
        </w:tc>
      </w:tr>
      <w:tr w:rsidR="00EB56BC" w:rsidRPr="001C1754" w14:paraId="03A4669B" w14:textId="77777777" w:rsidTr="00EB56BC">
        <w:trPr>
          <w:trHeight w:val="290"/>
        </w:trPr>
        <w:tc>
          <w:tcPr>
            <w:tcW w:w="2960" w:type="dxa"/>
            <w:tcBorders>
              <w:top w:val="nil"/>
              <w:left w:val="single" w:sz="4" w:space="0" w:color="auto"/>
              <w:bottom w:val="single" w:sz="4" w:space="0" w:color="auto"/>
              <w:right w:val="single" w:sz="4" w:space="0" w:color="auto"/>
            </w:tcBorders>
            <w:noWrap/>
            <w:vAlign w:val="bottom"/>
            <w:hideMark/>
          </w:tcPr>
          <w:p w14:paraId="7C3B90B3" w14:textId="77777777" w:rsidR="00EB56BC" w:rsidRPr="001C1754" w:rsidRDefault="00EB56B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All other ethnic groups SWB</w:t>
            </w:r>
          </w:p>
        </w:tc>
        <w:tc>
          <w:tcPr>
            <w:tcW w:w="960" w:type="dxa"/>
            <w:tcBorders>
              <w:top w:val="nil"/>
              <w:left w:val="nil"/>
              <w:bottom w:val="single" w:sz="4" w:space="0" w:color="auto"/>
              <w:right w:val="single" w:sz="4" w:space="0" w:color="auto"/>
            </w:tcBorders>
            <w:noWrap/>
            <w:vAlign w:val="bottom"/>
            <w:hideMark/>
          </w:tcPr>
          <w:p w14:paraId="142B2AE0"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15.78%</w:t>
            </w:r>
          </w:p>
        </w:tc>
        <w:tc>
          <w:tcPr>
            <w:tcW w:w="960" w:type="dxa"/>
            <w:tcBorders>
              <w:top w:val="nil"/>
              <w:left w:val="nil"/>
              <w:bottom w:val="single" w:sz="4" w:space="0" w:color="auto"/>
              <w:right w:val="single" w:sz="4" w:space="0" w:color="auto"/>
            </w:tcBorders>
            <w:noWrap/>
            <w:vAlign w:val="bottom"/>
            <w:hideMark/>
          </w:tcPr>
          <w:p w14:paraId="571892FD"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19.51%</w:t>
            </w:r>
          </w:p>
        </w:tc>
        <w:tc>
          <w:tcPr>
            <w:tcW w:w="960" w:type="dxa"/>
            <w:tcBorders>
              <w:top w:val="nil"/>
              <w:left w:val="nil"/>
              <w:bottom w:val="single" w:sz="4" w:space="0" w:color="auto"/>
              <w:right w:val="single" w:sz="4" w:space="0" w:color="auto"/>
            </w:tcBorders>
            <w:noWrap/>
            <w:vAlign w:val="bottom"/>
            <w:hideMark/>
          </w:tcPr>
          <w:p w14:paraId="64CBD5EA"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17.69%</w:t>
            </w:r>
          </w:p>
        </w:tc>
        <w:tc>
          <w:tcPr>
            <w:tcW w:w="960" w:type="dxa"/>
            <w:tcBorders>
              <w:top w:val="nil"/>
              <w:left w:val="nil"/>
              <w:bottom w:val="single" w:sz="4" w:space="0" w:color="auto"/>
              <w:right w:val="single" w:sz="4" w:space="0" w:color="auto"/>
            </w:tcBorders>
            <w:noWrap/>
            <w:vAlign w:val="bottom"/>
            <w:hideMark/>
          </w:tcPr>
          <w:p w14:paraId="7ADA6252"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14.97%</w:t>
            </w:r>
          </w:p>
        </w:tc>
        <w:tc>
          <w:tcPr>
            <w:tcW w:w="960" w:type="dxa"/>
            <w:tcBorders>
              <w:top w:val="nil"/>
              <w:left w:val="nil"/>
              <w:bottom w:val="single" w:sz="4" w:space="0" w:color="auto"/>
              <w:right w:val="single" w:sz="4" w:space="0" w:color="auto"/>
            </w:tcBorders>
            <w:noWrap/>
            <w:vAlign w:val="bottom"/>
            <w:hideMark/>
          </w:tcPr>
          <w:p w14:paraId="26FAEEB5"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15.00%</w:t>
            </w:r>
          </w:p>
        </w:tc>
      </w:tr>
      <w:tr w:rsidR="00EB56BC" w:rsidRPr="001C1754" w14:paraId="47CA9824" w14:textId="77777777" w:rsidTr="00EB56BC">
        <w:trPr>
          <w:trHeight w:val="290"/>
        </w:trPr>
        <w:tc>
          <w:tcPr>
            <w:tcW w:w="2960" w:type="dxa"/>
            <w:tcBorders>
              <w:top w:val="nil"/>
              <w:left w:val="single" w:sz="4" w:space="0" w:color="auto"/>
              <w:bottom w:val="single" w:sz="4" w:space="0" w:color="auto"/>
              <w:right w:val="single" w:sz="4" w:space="0" w:color="auto"/>
            </w:tcBorders>
            <w:noWrap/>
            <w:vAlign w:val="bottom"/>
            <w:hideMark/>
          </w:tcPr>
          <w:p w14:paraId="5500FB69" w14:textId="77777777" w:rsidR="00EB56BC" w:rsidRPr="001C1754" w:rsidRDefault="00EB56B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average</w:t>
            </w:r>
          </w:p>
        </w:tc>
        <w:tc>
          <w:tcPr>
            <w:tcW w:w="960" w:type="dxa"/>
            <w:tcBorders>
              <w:top w:val="nil"/>
              <w:left w:val="nil"/>
              <w:bottom w:val="single" w:sz="4" w:space="0" w:color="auto"/>
              <w:right w:val="single" w:sz="4" w:space="0" w:color="auto"/>
            </w:tcBorders>
            <w:noWrap/>
            <w:vAlign w:val="bottom"/>
            <w:hideMark/>
          </w:tcPr>
          <w:p w14:paraId="21B9C057"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6.09%</w:t>
            </w:r>
          </w:p>
        </w:tc>
        <w:tc>
          <w:tcPr>
            <w:tcW w:w="960" w:type="dxa"/>
            <w:tcBorders>
              <w:top w:val="nil"/>
              <w:left w:val="nil"/>
              <w:bottom w:val="single" w:sz="4" w:space="0" w:color="auto"/>
              <w:right w:val="single" w:sz="4" w:space="0" w:color="auto"/>
            </w:tcBorders>
            <w:noWrap/>
            <w:vAlign w:val="bottom"/>
            <w:hideMark/>
          </w:tcPr>
          <w:p w14:paraId="6E14913C"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6.67%</w:t>
            </w:r>
          </w:p>
        </w:tc>
        <w:tc>
          <w:tcPr>
            <w:tcW w:w="960" w:type="dxa"/>
            <w:tcBorders>
              <w:top w:val="nil"/>
              <w:left w:val="nil"/>
              <w:bottom w:val="single" w:sz="4" w:space="0" w:color="auto"/>
              <w:right w:val="single" w:sz="4" w:space="0" w:color="auto"/>
            </w:tcBorders>
            <w:noWrap/>
            <w:vAlign w:val="bottom"/>
            <w:hideMark/>
          </w:tcPr>
          <w:p w14:paraId="26149D84"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6.52%</w:t>
            </w:r>
          </w:p>
        </w:tc>
        <w:tc>
          <w:tcPr>
            <w:tcW w:w="960" w:type="dxa"/>
            <w:tcBorders>
              <w:top w:val="nil"/>
              <w:left w:val="nil"/>
              <w:bottom w:val="single" w:sz="4" w:space="0" w:color="auto"/>
              <w:right w:val="single" w:sz="4" w:space="0" w:color="auto"/>
            </w:tcBorders>
            <w:noWrap/>
            <w:vAlign w:val="bottom"/>
            <w:hideMark/>
          </w:tcPr>
          <w:p w14:paraId="7FEB8806"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6.73%</w:t>
            </w:r>
          </w:p>
        </w:tc>
        <w:tc>
          <w:tcPr>
            <w:tcW w:w="960" w:type="dxa"/>
            <w:tcBorders>
              <w:top w:val="nil"/>
              <w:left w:val="nil"/>
              <w:bottom w:val="single" w:sz="4" w:space="0" w:color="auto"/>
              <w:right w:val="single" w:sz="4" w:space="0" w:color="auto"/>
            </w:tcBorders>
            <w:noWrap/>
            <w:vAlign w:val="bottom"/>
            <w:hideMark/>
          </w:tcPr>
          <w:p w14:paraId="09CE3B6E"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6.69%</w:t>
            </w:r>
          </w:p>
        </w:tc>
      </w:tr>
      <w:tr w:rsidR="00EB56BC" w:rsidRPr="001C1754" w14:paraId="3364487A" w14:textId="77777777" w:rsidTr="00EB56BC">
        <w:trPr>
          <w:trHeight w:val="290"/>
        </w:trPr>
        <w:tc>
          <w:tcPr>
            <w:tcW w:w="2960" w:type="dxa"/>
            <w:tcBorders>
              <w:top w:val="nil"/>
              <w:left w:val="single" w:sz="4" w:space="0" w:color="auto"/>
              <w:bottom w:val="single" w:sz="4" w:space="0" w:color="auto"/>
              <w:right w:val="single" w:sz="4" w:space="0" w:color="auto"/>
            </w:tcBorders>
            <w:noWrap/>
            <w:vAlign w:val="bottom"/>
            <w:hideMark/>
          </w:tcPr>
          <w:p w14:paraId="423B8B39" w14:textId="1C5DA0DB" w:rsidR="00EB56BC" w:rsidRPr="001C1754" w:rsidRDefault="00EB56B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 xml:space="preserve">All other ethnic </w:t>
            </w:r>
            <w:r w:rsidR="00403DC5" w:rsidRPr="001C1754">
              <w:rPr>
                <w:rFonts w:ascii="Aptos" w:eastAsia="Times New Roman" w:hAnsi="Aptos" w:cs="Arial"/>
                <w:color w:val="000000"/>
                <w:kern w:val="0"/>
                <w:sz w:val="22"/>
                <w:szCs w:val="22"/>
                <w:lang w:eastAsia="en-GB"/>
                <w14:ligatures w14:val="none"/>
              </w:rPr>
              <w:t>groups'</w:t>
            </w:r>
            <w:r w:rsidRPr="001C1754">
              <w:rPr>
                <w:rFonts w:ascii="Aptos" w:eastAsia="Times New Roman" w:hAnsi="Aptos" w:cs="Arial"/>
                <w:color w:val="000000"/>
                <w:kern w:val="0"/>
                <w:sz w:val="22"/>
                <w:szCs w:val="22"/>
                <w:lang w:eastAsia="en-GB"/>
                <w14:ligatures w14:val="none"/>
              </w:rPr>
              <w:t xml:space="preserve"> average</w:t>
            </w:r>
          </w:p>
        </w:tc>
        <w:tc>
          <w:tcPr>
            <w:tcW w:w="960" w:type="dxa"/>
            <w:tcBorders>
              <w:top w:val="nil"/>
              <w:left w:val="nil"/>
              <w:bottom w:val="single" w:sz="4" w:space="0" w:color="auto"/>
              <w:right w:val="single" w:sz="4" w:space="0" w:color="auto"/>
            </w:tcBorders>
            <w:noWrap/>
            <w:vAlign w:val="bottom"/>
            <w:hideMark/>
          </w:tcPr>
          <w:p w14:paraId="0158E400"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16.77%</w:t>
            </w:r>
          </w:p>
        </w:tc>
        <w:tc>
          <w:tcPr>
            <w:tcW w:w="960" w:type="dxa"/>
            <w:tcBorders>
              <w:top w:val="nil"/>
              <w:left w:val="nil"/>
              <w:bottom w:val="single" w:sz="4" w:space="0" w:color="auto"/>
              <w:right w:val="single" w:sz="4" w:space="0" w:color="auto"/>
            </w:tcBorders>
            <w:noWrap/>
            <w:vAlign w:val="bottom"/>
            <w:hideMark/>
          </w:tcPr>
          <w:p w14:paraId="4A2F82C1"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17.28%</w:t>
            </w:r>
          </w:p>
        </w:tc>
        <w:tc>
          <w:tcPr>
            <w:tcW w:w="960" w:type="dxa"/>
            <w:tcBorders>
              <w:top w:val="nil"/>
              <w:left w:val="nil"/>
              <w:bottom w:val="single" w:sz="4" w:space="0" w:color="auto"/>
              <w:right w:val="single" w:sz="4" w:space="0" w:color="auto"/>
            </w:tcBorders>
            <w:noWrap/>
            <w:vAlign w:val="bottom"/>
            <w:hideMark/>
          </w:tcPr>
          <w:p w14:paraId="1BB80D25"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17.33%</w:t>
            </w:r>
          </w:p>
        </w:tc>
        <w:tc>
          <w:tcPr>
            <w:tcW w:w="960" w:type="dxa"/>
            <w:tcBorders>
              <w:top w:val="nil"/>
              <w:left w:val="nil"/>
              <w:bottom w:val="single" w:sz="4" w:space="0" w:color="auto"/>
              <w:right w:val="single" w:sz="4" w:space="0" w:color="auto"/>
            </w:tcBorders>
            <w:noWrap/>
            <w:vAlign w:val="bottom"/>
            <w:hideMark/>
          </w:tcPr>
          <w:p w14:paraId="7EDCFA03"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16.14%</w:t>
            </w:r>
          </w:p>
        </w:tc>
        <w:tc>
          <w:tcPr>
            <w:tcW w:w="960" w:type="dxa"/>
            <w:tcBorders>
              <w:top w:val="nil"/>
              <w:left w:val="nil"/>
              <w:bottom w:val="single" w:sz="4" w:space="0" w:color="auto"/>
              <w:right w:val="single" w:sz="4" w:space="0" w:color="auto"/>
            </w:tcBorders>
            <w:noWrap/>
            <w:vAlign w:val="bottom"/>
            <w:hideMark/>
          </w:tcPr>
          <w:p w14:paraId="7E70406B"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15.72%</w:t>
            </w:r>
          </w:p>
        </w:tc>
      </w:tr>
      <w:tr w:rsidR="00EB56BC" w:rsidRPr="001C1754" w14:paraId="3ACE61BC" w14:textId="77777777" w:rsidTr="00EB56BC">
        <w:trPr>
          <w:trHeight w:val="290"/>
        </w:trPr>
        <w:tc>
          <w:tcPr>
            <w:tcW w:w="2960" w:type="dxa"/>
            <w:tcBorders>
              <w:top w:val="nil"/>
              <w:left w:val="single" w:sz="4" w:space="0" w:color="auto"/>
              <w:bottom w:val="single" w:sz="4" w:space="0" w:color="auto"/>
              <w:right w:val="single" w:sz="4" w:space="0" w:color="auto"/>
            </w:tcBorders>
            <w:noWrap/>
            <w:vAlign w:val="bottom"/>
            <w:hideMark/>
          </w:tcPr>
          <w:p w14:paraId="293D30AF" w14:textId="77777777" w:rsidR="00EB56BC" w:rsidRPr="001C1754" w:rsidRDefault="00EB56B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White staff responses</w:t>
            </w:r>
          </w:p>
        </w:tc>
        <w:tc>
          <w:tcPr>
            <w:tcW w:w="960" w:type="dxa"/>
            <w:tcBorders>
              <w:top w:val="nil"/>
              <w:left w:val="nil"/>
              <w:bottom w:val="single" w:sz="4" w:space="0" w:color="auto"/>
              <w:right w:val="single" w:sz="4" w:space="0" w:color="auto"/>
            </w:tcBorders>
            <w:noWrap/>
            <w:vAlign w:val="bottom"/>
            <w:hideMark/>
          </w:tcPr>
          <w:p w14:paraId="2B81848A"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1308</w:t>
            </w:r>
          </w:p>
        </w:tc>
        <w:tc>
          <w:tcPr>
            <w:tcW w:w="960" w:type="dxa"/>
            <w:tcBorders>
              <w:top w:val="nil"/>
              <w:left w:val="nil"/>
              <w:bottom w:val="single" w:sz="4" w:space="0" w:color="auto"/>
              <w:right w:val="single" w:sz="4" w:space="0" w:color="auto"/>
            </w:tcBorders>
            <w:noWrap/>
            <w:vAlign w:val="bottom"/>
            <w:hideMark/>
          </w:tcPr>
          <w:p w14:paraId="22C6693E"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1569</w:t>
            </w:r>
          </w:p>
        </w:tc>
        <w:tc>
          <w:tcPr>
            <w:tcW w:w="960" w:type="dxa"/>
            <w:tcBorders>
              <w:top w:val="nil"/>
              <w:left w:val="nil"/>
              <w:bottom w:val="single" w:sz="4" w:space="0" w:color="auto"/>
              <w:right w:val="single" w:sz="4" w:space="0" w:color="auto"/>
            </w:tcBorders>
            <w:noWrap/>
            <w:vAlign w:val="bottom"/>
            <w:hideMark/>
          </w:tcPr>
          <w:p w14:paraId="30C03176"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1533</w:t>
            </w:r>
          </w:p>
        </w:tc>
        <w:tc>
          <w:tcPr>
            <w:tcW w:w="960" w:type="dxa"/>
            <w:tcBorders>
              <w:top w:val="nil"/>
              <w:left w:val="nil"/>
              <w:bottom w:val="single" w:sz="4" w:space="0" w:color="auto"/>
              <w:right w:val="single" w:sz="4" w:space="0" w:color="auto"/>
            </w:tcBorders>
            <w:noWrap/>
            <w:vAlign w:val="bottom"/>
            <w:hideMark/>
          </w:tcPr>
          <w:p w14:paraId="58364FB6"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1342</w:t>
            </w:r>
          </w:p>
        </w:tc>
        <w:tc>
          <w:tcPr>
            <w:tcW w:w="960" w:type="dxa"/>
            <w:tcBorders>
              <w:top w:val="nil"/>
              <w:left w:val="nil"/>
              <w:bottom w:val="single" w:sz="4" w:space="0" w:color="auto"/>
              <w:right w:val="single" w:sz="4" w:space="0" w:color="auto"/>
            </w:tcBorders>
            <w:noWrap/>
            <w:vAlign w:val="bottom"/>
            <w:hideMark/>
          </w:tcPr>
          <w:p w14:paraId="369CDCC6"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1560</w:t>
            </w:r>
          </w:p>
        </w:tc>
      </w:tr>
      <w:tr w:rsidR="00EB56BC" w:rsidRPr="001C1754" w14:paraId="18F9606E" w14:textId="77777777" w:rsidTr="00EB56BC">
        <w:trPr>
          <w:trHeight w:val="290"/>
        </w:trPr>
        <w:tc>
          <w:tcPr>
            <w:tcW w:w="2960" w:type="dxa"/>
            <w:tcBorders>
              <w:top w:val="nil"/>
              <w:left w:val="single" w:sz="4" w:space="0" w:color="auto"/>
              <w:bottom w:val="single" w:sz="4" w:space="0" w:color="auto"/>
              <w:right w:val="single" w:sz="4" w:space="0" w:color="auto"/>
            </w:tcBorders>
            <w:noWrap/>
            <w:vAlign w:val="bottom"/>
            <w:hideMark/>
          </w:tcPr>
          <w:p w14:paraId="1A883FEB" w14:textId="77777777" w:rsidR="00EB56BC" w:rsidRPr="001C1754" w:rsidRDefault="00EB56BC" w:rsidP="001C1754">
            <w:pPr>
              <w:spacing w:after="0" w:line="240" w:lineRule="auto"/>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All other ethnic group responses</w:t>
            </w:r>
          </w:p>
        </w:tc>
        <w:tc>
          <w:tcPr>
            <w:tcW w:w="960" w:type="dxa"/>
            <w:tcBorders>
              <w:top w:val="nil"/>
              <w:left w:val="nil"/>
              <w:bottom w:val="single" w:sz="4" w:space="0" w:color="auto"/>
              <w:right w:val="single" w:sz="4" w:space="0" w:color="auto"/>
            </w:tcBorders>
            <w:noWrap/>
            <w:vAlign w:val="bottom"/>
            <w:hideMark/>
          </w:tcPr>
          <w:p w14:paraId="7808CCF2"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716</w:t>
            </w:r>
          </w:p>
        </w:tc>
        <w:tc>
          <w:tcPr>
            <w:tcW w:w="960" w:type="dxa"/>
            <w:tcBorders>
              <w:top w:val="nil"/>
              <w:left w:val="nil"/>
              <w:bottom w:val="single" w:sz="4" w:space="0" w:color="auto"/>
              <w:right w:val="single" w:sz="4" w:space="0" w:color="auto"/>
            </w:tcBorders>
            <w:noWrap/>
            <w:vAlign w:val="bottom"/>
            <w:hideMark/>
          </w:tcPr>
          <w:p w14:paraId="04AB510F"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979</w:t>
            </w:r>
          </w:p>
        </w:tc>
        <w:tc>
          <w:tcPr>
            <w:tcW w:w="960" w:type="dxa"/>
            <w:tcBorders>
              <w:top w:val="nil"/>
              <w:left w:val="nil"/>
              <w:bottom w:val="single" w:sz="4" w:space="0" w:color="auto"/>
              <w:right w:val="single" w:sz="4" w:space="0" w:color="auto"/>
            </w:tcBorders>
            <w:noWrap/>
            <w:vAlign w:val="bottom"/>
            <w:hideMark/>
          </w:tcPr>
          <w:p w14:paraId="3B516AB7"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1091</w:t>
            </w:r>
          </w:p>
        </w:tc>
        <w:tc>
          <w:tcPr>
            <w:tcW w:w="960" w:type="dxa"/>
            <w:tcBorders>
              <w:top w:val="nil"/>
              <w:left w:val="nil"/>
              <w:bottom w:val="single" w:sz="4" w:space="0" w:color="auto"/>
              <w:right w:val="single" w:sz="4" w:space="0" w:color="auto"/>
            </w:tcBorders>
            <w:noWrap/>
            <w:vAlign w:val="bottom"/>
            <w:hideMark/>
          </w:tcPr>
          <w:p w14:paraId="3D77C626"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902</w:t>
            </w:r>
          </w:p>
        </w:tc>
        <w:tc>
          <w:tcPr>
            <w:tcW w:w="960" w:type="dxa"/>
            <w:tcBorders>
              <w:top w:val="nil"/>
              <w:left w:val="nil"/>
              <w:bottom w:val="single" w:sz="4" w:space="0" w:color="auto"/>
              <w:right w:val="single" w:sz="4" w:space="0" w:color="auto"/>
            </w:tcBorders>
            <w:noWrap/>
            <w:vAlign w:val="bottom"/>
            <w:hideMark/>
          </w:tcPr>
          <w:p w14:paraId="36F96736" w14:textId="77777777" w:rsidR="00EB56BC" w:rsidRPr="001C1754" w:rsidRDefault="00EB56BC" w:rsidP="001C1754">
            <w:pPr>
              <w:spacing w:after="0" w:line="240" w:lineRule="auto"/>
              <w:jc w:val="right"/>
              <w:rPr>
                <w:rFonts w:ascii="Aptos" w:eastAsia="Times New Roman" w:hAnsi="Aptos" w:cs="Arial"/>
                <w:color w:val="000000"/>
                <w:kern w:val="0"/>
                <w:sz w:val="22"/>
                <w:szCs w:val="22"/>
                <w:lang w:eastAsia="en-GB"/>
                <w14:ligatures w14:val="none"/>
              </w:rPr>
            </w:pPr>
            <w:r w:rsidRPr="001C1754">
              <w:rPr>
                <w:rFonts w:ascii="Aptos" w:eastAsia="Times New Roman" w:hAnsi="Aptos" w:cs="Arial"/>
                <w:color w:val="000000"/>
                <w:kern w:val="0"/>
                <w:sz w:val="22"/>
                <w:szCs w:val="22"/>
                <w:lang w:eastAsia="en-GB"/>
                <w14:ligatures w14:val="none"/>
              </w:rPr>
              <w:t>1073</w:t>
            </w:r>
          </w:p>
        </w:tc>
      </w:tr>
    </w:tbl>
    <w:p w14:paraId="7F31FF4D" w14:textId="28DF558A" w:rsidR="00D27F50" w:rsidRPr="001C1754" w:rsidRDefault="00D27F50" w:rsidP="001C1754">
      <w:pPr>
        <w:spacing w:after="0" w:line="240" w:lineRule="auto"/>
        <w:jc w:val="both"/>
        <w:rPr>
          <w:rFonts w:ascii="Aptos" w:hAnsi="Aptos" w:cs="Arial"/>
        </w:rPr>
      </w:pPr>
    </w:p>
    <w:p w14:paraId="040A3317" w14:textId="77777777" w:rsidR="00403DC5" w:rsidRPr="001C1754" w:rsidRDefault="00403DC5" w:rsidP="0051294A">
      <w:pPr>
        <w:pStyle w:val="NormalWeb"/>
        <w:spacing w:before="0" w:beforeAutospacing="0" w:after="0" w:afterAutospacing="0"/>
        <w:rPr>
          <w:rFonts w:ascii="Aptos" w:hAnsi="Aptos" w:cs="Arial"/>
        </w:rPr>
      </w:pPr>
      <w:r w:rsidRPr="001C1754">
        <w:rPr>
          <w:rFonts w:ascii="Aptos" w:hAnsi="Aptos" w:cs="Arial"/>
        </w:rPr>
        <w:t>The proportion of BME Board members at Sandwell and West Birmingham NHS Trust has remained unchanged at 25% since the last reporting period. However, the percentage of BME Board members with voting rights has decreased—from 20% in 2024 to 8% in 2025. Efforts are ongoing through the Inclusive Talent Management and Resourcing Group to nurture internal talent and enhance representation at senior leadership levels.</w:t>
      </w:r>
    </w:p>
    <w:p w14:paraId="2BAB3110" w14:textId="77777777" w:rsidR="00403DC5" w:rsidRPr="001C1754" w:rsidRDefault="00403DC5" w:rsidP="00BF35E9">
      <w:pPr>
        <w:spacing w:after="0" w:line="240" w:lineRule="auto"/>
        <w:rPr>
          <w:rFonts w:ascii="Aptos" w:hAnsi="Aptos" w:cs="Arial"/>
        </w:rPr>
      </w:pPr>
    </w:p>
    <w:p w14:paraId="34D65037" w14:textId="1FA5EF2D" w:rsidR="00D27F50" w:rsidRDefault="00D27F50" w:rsidP="00BF35E9">
      <w:pPr>
        <w:pStyle w:val="Heading1"/>
        <w:spacing w:before="0" w:after="0" w:line="240" w:lineRule="auto"/>
        <w:rPr>
          <w:rFonts w:ascii="Aptos" w:hAnsi="Aptos" w:cs="Arial"/>
        </w:rPr>
      </w:pPr>
      <w:r w:rsidRPr="001C1754">
        <w:rPr>
          <w:rFonts w:ascii="Aptos" w:hAnsi="Aptos" w:cs="Arial"/>
        </w:rPr>
        <w:t xml:space="preserve">Metric 9 - Percentage difference between the organisations’ Board membership and its overall workforce disaggregated: </w:t>
      </w:r>
    </w:p>
    <w:p w14:paraId="3B5B0667" w14:textId="77777777" w:rsidR="00DB20BA" w:rsidRPr="001C1754" w:rsidRDefault="00DB20BA" w:rsidP="0051294A">
      <w:pPr>
        <w:pStyle w:val="NormalWeb"/>
        <w:spacing w:before="0" w:beforeAutospacing="0" w:after="0" w:afterAutospacing="0"/>
        <w:rPr>
          <w:rFonts w:ascii="Aptos" w:hAnsi="Aptos" w:cs="Arial"/>
        </w:rPr>
      </w:pPr>
      <w:r w:rsidRPr="001C1754">
        <w:rPr>
          <w:rFonts w:ascii="Aptos" w:hAnsi="Aptos" w:cs="Arial"/>
        </w:rPr>
        <w:t>The proportion of BME Board members at Sandwell and West Birmingham NHS Trust has remained unchanged at 25% since the last reporting period. However, the percentage of BME Board members with voting rights has decreased—from 20% in 2024 to 8% in 2025. Efforts are ongoing through the Inclusive Talent Management and Resourcing Group to nurture internal talent and enhance representation at senior leadership levels.</w:t>
      </w:r>
    </w:p>
    <w:p w14:paraId="35028818" w14:textId="77777777" w:rsidR="00DB20BA" w:rsidRDefault="00DB20BA" w:rsidP="00DB20BA"/>
    <w:p w14:paraId="549506D4" w14:textId="77777777" w:rsidR="00DB20BA" w:rsidRDefault="00DB20BA" w:rsidP="00DB20BA"/>
    <w:p w14:paraId="6C5B9034" w14:textId="77777777" w:rsidR="00DB20BA" w:rsidRDefault="00DB20BA" w:rsidP="00DB20BA"/>
    <w:p w14:paraId="2059AE7E" w14:textId="10F76792" w:rsidR="00DB20BA" w:rsidRPr="00DB20BA" w:rsidRDefault="00DB20BA" w:rsidP="00DB20BA">
      <w:r>
        <w:t>Table 10</w:t>
      </w:r>
    </w:p>
    <w:p w14:paraId="138C3E57" w14:textId="4B7B0009" w:rsidR="0065717E" w:rsidRPr="001C1754" w:rsidRDefault="00EB56BC" w:rsidP="001C1754">
      <w:pPr>
        <w:spacing w:after="0" w:line="240" w:lineRule="auto"/>
        <w:rPr>
          <w:rFonts w:ascii="Aptos" w:hAnsi="Aptos" w:cs="Arial"/>
        </w:rPr>
      </w:pPr>
      <w:r w:rsidRPr="001C1754">
        <w:rPr>
          <w:rFonts w:ascii="Aptos" w:hAnsi="Aptos" w:cs="Arial"/>
          <w:noProof/>
        </w:rPr>
        <w:drawing>
          <wp:inline distT="0" distB="0" distL="0" distR="0" wp14:anchorId="667B48F8" wp14:editId="55E6DAE5">
            <wp:extent cx="4466492" cy="2229729"/>
            <wp:effectExtent l="0" t="0" r="10795" b="18415"/>
            <wp:docPr id="486510843" name="Chart 1" descr="Table 10“ Bar chart showing board representation: total members are 25% BME and 75% White; voting members are 8% BME and 92% White.”">
              <a:extLst xmlns:a="http://schemas.openxmlformats.org/drawingml/2006/main">
                <a:ext uri="{FF2B5EF4-FFF2-40B4-BE49-F238E27FC236}">
                  <a16:creationId xmlns:a16="http://schemas.microsoft.com/office/drawing/2014/main" id="{F603F369-F76F-4EC3-8B9E-8560A0C3F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6C2451" w14:textId="77777777" w:rsidR="00A23088" w:rsidRDefault="00A23088" w:rsidP="001C1754">
      <w:pPr>
        <w:pStyle w:val="NormalWeb"/>
        <w:spacing w:before="0" w:beforeAutospacing="0" w:after="0" w:afterAutospacing="0"/>
        <w:rPr>
          <w:rStyle w:val="Strong"/>
          <w:rFonts w:ascii="Aptos" w:eastAsiaTheme="majorEastAsia" w:hAnsi="Aptos" w:cs="Arial"/>
        </w:rPr>
      </w:pPr>
    </w:p>
    <w:p w14:paraId="00AFE628" w14:textId="210E3DF8" w:rsidR="00F227DB" w:rsidRDefault="00F227DB" w:rsidP="001C1754">
      <w:pPr>
        <w:pStyle w:val="NormalWeb"/>
        <w:spacing w:before="0" w:beforeAutospacing="0" w:after="0" w:afterAutospacing="0"/>
        <w:rPr>
          <w:rStyle w:val="Strong"/>
          <w:rFonts w:ascii="Aptos" w:eastAsiaTheme="majorEastAsia" w:hAnsi="Aptos" w:cs="Arial"/>
        </w:rPr>
      </w:pPr>
      <w:r w:rsidRPr="001C1754">
        <w:rPr>
          <w:rStyle w:val="Strong"/>
          <w:rFonts w:ascii="Aptos" w:eastAsiaTheme="majorEastAsia" w:hAnsi="Aptos" w:cs="Arial"/>
        </w:rPr>
        <w:t>Conclusion</w:t>
      </w:r>
    </w:p>
    <w:p w14:paraId="03773366" w14:textId="77777777" w:rsidR="001009AE" w:rsidRPr="001C1754" w:rsidRDefault="001009AE" w:rsidP="001C1754">
      <w:pPr>
        <w:pStyle w:val="NormalWeb"/>
        <w:spacing w:before="0" w:beforeAutospacing="0" w:after="0" w:afterAutospacing="0"/>
        <w:rPr>
          <w:rFonts w:ascii="Aptos" w:hAnsi="Aptos" w:cs="Arial"/>
        </w:rPr>
      </w:pPr>
    </w:p>
    <w:p w14:paraId="771D43C0" w14:textId="7AC41B85" w:rsidR="00F227DB" w:rsidRPr="001C1754" w:rsidRDefault="00F227DB" w:rsidP="001C1754">
      <w:pPr>
        <w:pStyle w:val="NormalWeb"/>
        <w:spacing w:before="0" w:beforeAutospacing="0" w:after="0" w:afterAutospacing="0"/>
        <w:rPr>
          <w:rFonts w:ascii="Aptos" w:hAnsi="Aptos" w:cs="Arial"/>
        </w:rPr>
      </w:pPr>
      <w:r w:rsidRPr="001C1754">
        <w:rPr>
          <w:rFonts w:ascii="Aptos" w:hAnsi="Aptos" w:cs="Arial"/>
        </w:rPr>
        <w:t>Over the past 12 months, the Trust has made progress in advancing its Equality, Diversity, and Inclusion (EDI) agenda through the effective implementation of the EDI plan</w:t>
      </w:r>
      <w:r w:rsidR="00A23088">
        <w:rPr>
          <w:rFonts w:ascii="Aptos" w:hAnsi="Aptos" w:cs="Arial"/>
        </w:rPr>
        <w:t xml:space="preserve"> and our </w:t>
      </w:r>
      <w:proofErr w:type="gramStart"/>
      <w:r w:rsidR="00A23088" w:rsidRPr="00DB20BA">
        <w:rPr>
          <w:rFonts w:ascii="Aptos" w:hAnsi="Aptos" w:cs="Arial"/>
          <w:b/>
          <w:bCs/>
          <w:i/>
          <w:iCs/>
        </w:rPr>
        <w:t>With</w:t>
      </w:r>
      <w:proofErr w:type="gramEnd"/>
      <w:r w:rsidR="00A23088" w:rsidRPr="00DB20BA">
        <w:rPr>
          <w:rFonts w:ascii="Aptos" w:hAnsi="Aptos" w:cs="Arial"/>
          <w:b/>
          <w:bCs/>
          <w:i/>
          <w:iCs/>
        </w:rPr>
        <w:t xml:space="preserve"> you all the way culture programme</w:t>
      </w:r>
      <w:r w:rsidRPr="001C1754">
        <w:rPr>
          <w:rFonts w:ascii="Aptos" w:hAnsi="Aptos" w:cs="Arial"/>
        </w:rPr>
        <w:t>. Key achievements include:</w:t>
      </w:r>
    </w:p>
    <w:p w14:paraId="38BD17EF" w14:textId="77777777" w:rsidR="00F227DB" w:rsidRPr="001C1754" w:rsidRDefault="00F227DB" w:rsidP="001C1754">
      <w:pPr>
        <w:pStyle w:val="NormalWeb"/>
        <w:numPr>
          <w:ilvl w:val="0"/>
          <w:numId w:val="8"/>
        </w:numPr>
        <w:spacing w:before="0" w:beforeAutospacing="0" w:after="0" w:afterAutospacing="0"/>
        <w:rPr>
          <w:rFonts w:ascii="Aptos" w:hAnsi="Aptos" w:cs="Arial"/>
        </w:rPr>
      </w:pPr>
      <w:r w:rsidRPr="001C1754">
        <w:rPr>
          <w:rStyle w:val="Strong"/>
          <w:rFonts w:ascii="Aptos" w:eastAsiaTheme="majorEastAsia" w:hAnsi="Aptos" w:cs="Arial"/>
        </w:rPr>
        <w:t>Race Equality</w:t>
      </w:r>
      <w:r w:rsidRPr="001C1754">
        <w:rPr>
          <w:rFonts w:ascii="Aptos" w:hAnsi="Aptos" w:cs="Arial"/>
        </w:rPr>
        <w:t>: The Trust signed up to the Race Code and successfully attained the Race Code Quality Mark in May 2024.</w:t>
      </w:r>
    </w:p>
    <w:p w14:paraId="494C0284" w14:textId="77777777" w:rsidR="00F227DB" w:rsidRPr="001C1754" w:rsidRDefault="00F227DB" w:rsidP="001C1754">
      <w:pPr>
        <w:pStyle w:val="NormalWeb"/>
        <w:numPr>
          <w:ilvl w:val="0"/>
          <w:numId w:val="8"/>
        </w:numPr>
        <w:spacing w:before="0" w:beforeAutospacing="0" w:after="0" w:afterAutospacing="0"/>
        <w:rPr>
          <w:rFonts w:ascii="Aptos" w:hAnsi="Aptos" w:cs="Arial"/>
        </w:rPr>
      </w:pPr>
      <w:r w:rsidRPr="001C1754">
        <w:rPr>
          <w:rStyle w:val="Strong"/>
          <w:rFonts w:ascii="Aptos" w:eastAsiaTheme="majorEastAsia" w:hAnsi="Aptos" w:cs="Arial"/>
        </w:rPr>
        <w:t>Inclusion Benchmarking</w:t>
      </w:r>
      <w:r w:rsidRPr="001C1754">
        <w:rPr>
          <w:rFonts w:ascii="Aptos" w:hAnsi="Aptos" w:cs="Arial"/>
        </w:rPr>
        <w:t xml:space="preserve">: As a member of the Employers Network for Equality &amp; Inclusion (ENEI), the Trust participated in the Talent Inclusion &amp; Diversity Evaluation (TIDE) and was awarded </w:t>
      </w:r>
      <w:r w:rsidRPr="001C1754">
        <w:rPr>
          <w:rStyle w:val="Strong"/>
          <w:rFonts w:ascii="Aptos" w:eastAsiaTheme="majorEastAsia" w:hAnsi="Aptos" w:cs="Arial"/>
        </w:rPr>
        <w:t>Gold Status</w:t>
      </w:r>
      <w:r w:rsidRPr="001C1754">
        <w:rPr>
          <w:rFonts w:ascii="Aptos" w:hAnsi="Aptos" w:cs="Arial"/>
        </w:rPr>
        <w:t>, the highest level of recognition.</w:t>
      </w:r>
    </w:p>
    <w:p w14:paraId="040961DE" w14:textId="77777777" w:rsidR="00F227DB" w:rsidRPr="001C1754" w:rsidRDefault="00F227DB" w:rsidP="001C1754">
      <w:pPr>
        <w:pStyle w:val="NormalWeb"/>
        <w:numPr>
          <w:ilvl w:val="0"/>
          <w:numId w:val="8"/>
        </w:numPr>
        <w:spacing w:before="0" w:beforeAutospacing="0" w:after="0" w:afterAutospacing="0"/>
        <w:rPr>
          <w:rFonts w:ascii="Aptos" w:hAnsi="Aptos" w:cs="Arial"/>
        </w:rPr>
      </w:pPr>
      <w:r w:rsidRPr="001C1754">
        <w:rPr>
          <w:rStyle w:val="Strong"/>
          <w:rFonts w:ascii="Aptos" w:eastAsiaTheme="majorEastAsia" w:hAnsi="Aptos" w:cs="Arial"/>
        </w:rPr>
        <w:t>Disability Inclusion</w:t>
      </w:r>
      <w:r w:rsidRPr="001C1754">
        <w:rPr>
          <w:rFonts w:ascii="Aptos" w:hAnsi="Aptos" w:cs="Arial"/>
        </w:rPr>
        <w:t xml:space="preserve">: The Trust achieved </w:t>
      </w:r>
      <w:r w:rsidRPr="001C1754">
        <w:rPr>
          <w:rStyle w:val="Strong"/>
          <w:rFonts w:ascii="Aptos" w:eastAsiaTheme="majorEastAsia" w:hAnsi="Aptos" w:cs="Arial"/>
        </w:rPr>
        <w:t>Disability Confident Employer Level 2</w:t>
      </w:r>
      <w:r w:rsidRPr="001C1754">
        <w:rPr>
          <w:rFonts w:ascii="Aptos" w:hAnsi="Aptos" w:cs="Arial"/>
        </w:rPr>
        <w:t xml:space="preserve"> status in July 2024.</w:t>
      </w:r>
    </w:p>
    <w:p w14:paraId="76FC21F1" w14:textId="77777777" w:rsidR="00F227DB" w:rsidRDefault="00F227DB" w:rsidP="001C1754">
      <w:pPr>
        <w:pStyle w:val="NormalWeb"/>
        <w:numPr>
          <w:ilvl w:val="0"/>
          <w:numId w:val="8"/>
        </w:numPr>
        <w:spacing w:before="0" w:beforeAutospacing="0" w:after="0" w:afterAutospacing="0"/>
        <w:rPr>
          <w:rFonts w:ascii="Aptos" w:hAnsi="Aptos" w:cs="Arial"/>
        </w:rPr>
      </w:pPr>
      <w:r w:rsidRPr="001C1754">
        <w:rPr>
          <w:rStyle w:val="Strong"/>
          <w:rFonts w:ascii="Aptos" w:eastAsiaTheme="majorEastAsia" w:hAnsi="Aptos" w:cs="Arial"/>
        </w:rPr>
        <w:t>Sector Collaboration</w:t>
      </w:r>
      <w:r w:rsidRPr="001C1754">
        <w:rPr>
          <w:rFonts w:ascii="Aptos" w:hAnsi="Aptos" w:cs="Arial"/>
        </w:rPr>
        <w:t xml:space="preserve">: Completion of the </w:t>
      </w:r>
      <w:r w:rsidRPr="001C1754">
        <w:rPr>
          <w:rStyle w:val="Strong"/>
          <w:rFonts w:ascii="Aptos" w:eastAsiaTheme="majorEastAsia" w:hAnsi="Aptos" w:cs="Arial"/>
        </w:rPr>
        <w:t>NHS Employers’ Diversity in Health and Care Partners 2023/2024</w:t>
      </w:r>
      <w:r w:rsidRPr="001C1754">
        <w:rPr>
          <w:rFonts w:ascii="Aptos" w:hAnsi="Aptos" w:cs="Arial"/>
        </w:rPr>
        <w:t xml:space="preserve"> programme.</w:t>
      </w:r>
    </w:p>
    <w:p w14:paraId="49DE01CB" w14:textId="77777777" w:rsidR="00A23088" w:rsidRPr="001C1754" w:rsidRDefault="00A23088" w:rsidP="001009AE">
      <w:pPr>
        <w:pStyle w:val="NormalWeb"/>
        <w:spacing w:before="0" w:beforeAutospacing="0" w:after="0" w:afterAutospacing="0"/>
        <w:ind w:left="720"/>
        <w:rPr>
          <w:rFonts w:ascii="Aptos" w:hAnsi="Aptos" w:cs="Arial"/>
        </w:rPr>
      </w:pPr>
    </w:p>
    <w:p w14:paraId="41AEFF68" w14:textId="77777777" w:rsidR="00F227DB" w:rsidRDefault="00F227DB" w:rsidP="001C1754">
      <w:pPr>
        <w:pStyle w:val="NormalWeb"/>
        <w:spacing w:before="0" w:beforeAutospacing="0" w:after="0" w:afterAutospacing="0"/>
        <w:rPr>
          <w:rFonts w:ascii="Aptos" w:hAnsi="Aptos" w:cs="Arial"/>
        </w:rPr>
      </w:pPr>
      <w:r w:rsidRPr="001C1754">
        <w:rPr>
          <w:rFonts w:ascii="Aptos" w:hAnsi="Aptos" w:cs="Arial"/>
        </w:rPr>
        <w:t>While positive shifts have been observed in some Workforce Race Equality Standard (WRES) indicators, we acknowledge that further sustained efforts are required to improve the experience of staff from Black and Minority Ethnic (BME) backgrounds and to embed a consistently inclusive and supportive workplace culture.</w:t>
      </w:r>
    </w:p>
    <w:p w14:paraId="1230F7FB" w14:textId="77777777" w:rsidR="00A23088" w:rsidRPr="001C1754" w:rsidRDefault="00A23088" w:rsidP="001C1754">
      <w:pPr>
        <w:pStyle w:val="NormalWeb"/>
        <w:spacing w:before="0" w:beforeAutospacing="0" w:after="0" w:afterAutospacing="0"/>
        <w:rPr>
          <w:rFonts w:ascii="Aptos" w:hAnsi="Aptos" w:cs="Arial"/>
        </w:rPr>
      </w:pPr>
    </w:p>
    <w:p w14:paraId="6BE987E6" w14:textId="44A456E0" w:rsidR="001009AE" w:rsidRDefault="00F227DB" w:rsidP="00A23088">
      <w:pPr>
        <w:spacing w:after="0" w:line="240" w:lineRule="auto"/>
        <w:ind w:left="720" w:hanging="720"/>
        <w:outlineLvl w:val="3"/>
        <w:rPr>
          <w:rFonts w:ascii="Aptos" w:hAnsi="Aptos" w:cs="Arial"/>
        </w:rPr>
      </w:pPr>
      <w:r w:rsidRPr="001C1754">
        <w:rPr>
          <w:rStyle w:val="Strong"/>
          <w:rFonts w:ascii="Aptos" w:eastAsiaTheme="majorEastAsia" w:hAnsi="Aptos" w:cs="Arial"/>
        </w:rPr>
        <w:t>Looking ahead to 2025/26</w:t>
      </w:r>
      <w:r w:rsidRPr="001C1754">
        <w:rPr>
          <w:rFonts w:ascii="Aptos" w:hAnsi="Aptos" w:cs="Arial"/>
        </w:rPr>
        <w:t>, the Trust</w:t>
      </w:r>
      <w:r w:rsidR="001009AE">
        <w:rPr>
          <w:rFonts w:ascii="Aptos" w:hAnsi="Aptos" w:cs="Arial"/>
        </w:rPr>
        <w:t xml:space="preserve"> People Committee in March agreed to focus on </w:t>
      </w:r>
    </w:p>
    <w:p w14:paraId="76A571FF" w14:textId="44E4F67C" w:rsidR="001009AE" w:rsidRPr="001009AE" w:rsidRDefault="001009AE" w:rsidP="00A23088">
      <w:pPr>
        <w:spacing w:after="0" w:line="240" w:lineRule="auto"/>
        <w:ind w:left="720" w:hanging="720"/>
        <w:outlineLvl w:val="3"/>
        <w:rPr>
          <w:rStyle w:val="Strong"/>
          <w:rFonts w:ascii="Aptos" w:eastAsiaTheme="majorEastAsia" w:hAnsi="Aptos" w:cs="Arial"/>
          <w:b w:val="0"/>
          <w:bCs w:val="0"/>
        </w:rPr>
      </w:pPr>
      <w:r w:rsidRPr="001009AE">
        <w:rPr>
          <w:rStyle w:val="Strong"/>
          <w:rFonts w:ascii="Aptos" w:eastAsiaTheme="majorEastAsia" w:hAnsi="Aptos" w:cs="Arial"/>
          <w:b w:val="0"/>
          <w:bCs w:val="0"/>
        </w:rPr>
        <w:t>The delivery of the following People Priorities for 2025/26</w:t>
      </w:r>
    </w:p>
    <w:p w14:paraId="08E27491" w14:textId="414F9C8F" w:rsidR="001009AE" w:rsidRDefault="001009AE" w:rsidP="001009AE">
      <w:pPr>
        <w:pStyle w:val="ListParagraph"/>
        <w:numPr>
          <w:ilvl w:val="0"/>
          <w:numId w:val="14"/>
        </w:numPr>
        <w:spacing w:after="0" w:line="240" w:lineRule="auto"/>
        <w:outlineLvl w:val="3"/>
        <w:rPr>
          <w:rFonts w:ascii="Aptos" w:hAnsi="Aptos" w:cs="Arial"/>
        </w:rPr>
      </w:pPr>
      <w:r>
        <w:rPr>
          <w:rFonts w:ascii="Aptos" w:hAnsi="Aptos" w:cs="Arial"/>
        </w:rPr>
        <w:t>Improve Staff Engagement Score</w:t>
      </w:r>
    </w:p>
    <w:p w14:paraId="3405B448" w14:textId="66EE6179" w:rsidR="001009AE" w:rsidRDefault="001009AE" w:rsidP="001009AE">
      <w:pPr>
        <w:pStyle w:val="ListParagraph"/>
        <w:numPr>
          <w:ilvl w:val="0"/>
          <w:numId w:val="15"/>
        </w:numPr>
        <w:spacing w:after="0" w:line="240" w:lineRule="auto"/>
        <w:outlineLvl w:val="3"/>
        <w:rPr>
          <w:rFonts w:ascii="Aptos" w:hAnsi="Aptos" w:cs="Arial"/>
        </w:rPr>
      </w:pPr>
      <w:r>
        <w:rPr>
          <w:rFonts w:ascii="Aptos" w:hAnsi="Aptos" w:cs="Arial"/>
        </w:rPr>
        <w:t>Deliver sustained improvements across all NHS People Promises</w:t>
      </w:r>
    </w:p>
    <w:p w14:paraId="5A2598D3" w14:textId="6221CF50" w:rsidR="001009AE" w:rsidRDefault="001009AE" w:rsidP="001009AE">
      <w:pPr>
        <w:pStyle w:val="ListParagraph"/>
        <w:numPr>
          <w:ilvl w:val="0"/>
          <w:numId w:val="14"/>
        </w:numPr>
        <w:spacing w:after="0" w:line="240" w:lineRule="auto"/>
        <w:outlineLvl w:val="3"/>
        <w:rPr>
          <w:rFonts w:ascii="Aptos" w:hAnsi="Aptos" w:cs="Arial"/>
        </w:rPr>
      </w:pPr>
      <w:r>
        <w:rPr>
          <w:rFonts w:ascii="Aptos" w:hAnsi="Aptos" w:cs="Arial"/>
        </w:rPr>
        <w:t>Increase Representational Leadership</w:t>
      </w:r>
    </w:p>
    <w:p w14:paraId="1CA592CF" w14:textId="2AE0DF9A" w:rsidR="001009AE" w:rsidRDefault="001009AE" w:rsidP="001009AE">
      <w:pPr>
        <w:pStyle w:val="ListParagraph"/>
        <w:numPr>
          <w:ilvl w:val="0"/>
          <w:numId w:val="15"/>
        </w:numPr>
        <w:spacing w:after="0" w:line="240" w:lineRule="auto"/>
        <w:outlineLvl w:val="3"/>
        <w:rPr>
          <w:rFonts w:ascii="Aptos" w:hAnsi="Aptos" w:cs="Arial"/>
        </w:rPr>
      </w:pPr>
      <w:r>
        <w:rPr>
          <w:rFonts w:ascii="Aptos" w:hAnsi="Aptos" w:cs="Arial"/>
        </w:rPr>
        <w:t>Implement national EDI high impact actions</w:t>
      </w:r>
    </w:p>
    <w:p w14:paraId="1E734EC3" w14:textId="5DA5576A" w:rsidR="001009AE" w:rsidRDefault="001009AE" w:rsidP="001009AE">
      <w:pPr>
        <w:pStyle w:val="ListParagraph"/>
        <w:numPr>
          <w:ilvl w:val="0"/>
          <w:numId w:val="15"/>
        </w:numPr>
        <w:spacing w:after="0" w:line="240" w:lineRule="auto"/>
        <w:outlineLvl w:val="3"/>
        <w:rPr>
          <w:rFonts w:ascii="Aptos" w:hAnsi="Aptos" w:cs="Arial"/>
        </w:rPr>
      </w:pPr>
      <w:r>
        <w:rPr>
          <w:rFonts w:ascii="Aptos" w:hAnsi="Aptos" w:cs="Arial"/>
        </w:rPr>
        <w:t>Drive further improvements in the Trust’s WRES and WDES outcomes</w:t>
      </w:r>
    </w:p>
    <w:p w14:paraId="3331929F" w14:textId="1814C538" w:rsidR="001009AE" w:rsidRPr="001009AE" w:rsidRDefault="001009AE" w:rsidP="001009AE">
      <w:pPr>
        <w:pStyle w:val="ListParagraph"/>
        <w:numPr>
          <w:ilvl w:val="0"/>
          <w:numId w:val="14"/>
        </w:numPr>
        <w:spacing w:after="0" w:line="240" w:lineRule="auto"/>
        <w:outlineLvl w:val="3"/>
        <w:rPr>
          <w:rFonts w:ascii="Aptos" w:hAnsi="Aptos" w:cs="Arial"/>
        </w:rPr>
      </w:pPr>
      <w:r>
        <w:rPr>
          <w:rFonts w:ascii="Aptos" w:hAnsi="Aptos" w:cs="Arial"/>
        </w:rPr>
        <w:t>Optimise Workforce Productivity</w:t>
      </w:r>
    </w:p>
    <w:p w14:paraId="565F8FC4" w14:textId="77777777" w:rsidR="001009AE" w:rsidRDefault="001009AE" w:rsidP="00A23088">
      <w:pPr>
        <w:spacing w:after="0" w:line="240" w:lineRule="auto"/>
        <w:ind w:left="720" w:hanging="720"/>
        <w:outlineLvl w:val="3"/>
        <w:rPr>
          <w:rFonts w:ascii="Aptos" w:hAnsi="Aptos" w:cs="Arial"/>
        </w:rPr>
      </w:pPr>
    </w:p>
    <w:p w14:paraId="06807E51" w14:textId="61C0684D" w:rsidR="00A23088" w:rsidRPr="00BF1F97" w:rsidRDefault="00F227DB" w:rsidP="00A23088">
      <w:pPr>
        <w:spacing w:after="0" w:line="240" w:lineRule="auto"/>
        <w:ind w:left="1800"/>
        <w:rPr>
          <w:rFonts w:ascii="Aptos" w:eastAsia="Times New Roman" w:hAnsi="Aptos" w:cs="Times New Roman"/>
          <w:lang w:eastAsia="en-GB"/>
        </w:rPr>
      </w:pPr>
      <w:r w:rsidRPr="001C1754">
        <w:rPr>
          <w:rFonts w:ascii="Aptos" w:hAnsi="Aptos" w:cs="Arial"/>
        </w:rPr>
        <w:t xml:space="preserve"> </w:t>
      </w:r>
    </w:p>
    <w:p w14:paraId="0A7AA5D2" w14:textId="2549ABE7" w:rsidR="00A23088" w:rsidRPr="00BF1F97" w:rsidRDefault="00A23088" w:rsidP="001009AE">
      <w:pPr>
        <w:spacing w:after="0" w:line="240" w:lineRule="auto"/>
        <w:rPr>
          <w:rFonts w:ascii="Aptos" w:hAnsi="Aptos"/>
          <w:i/>
          <w:iCs/>
        </w:rPr>
      </w:pPr>
      <w:r w:rsidRPr="00BF1F97">
        <w:rPr>
          <w:rFonts w:ascii="Aptos" w:eastAsia="Times New Roman" w:hAnsi="Aptos" w:cs="Times New Roman"/>
          <w:lang w:eastAsia="en-GB"/>
        </w:rPr>
        <w:lastRenderedPageBreak/>
        <w:t xml:space="preserve">These priorities are being  </w:t>
      </w:r>
      <w:r w:rsidRPr="00BF1F97">
        <w:rPr>
          <w:rFonts w:ascii="Aptos" w:hAnsi="Aptos" w:cstheme="minorHAnsi"/>
        </w:rPr>
        <w:t>delivered at 4 levels</w:t>
      </w:r>
      <w:r>
        <w:rPr>
          <w:rFonts w:ascii="Aptos" w:hAnsi="Aptos" w:cstheme="minorHAnsi"/>
        </w:rPr>
        <w:t xml:space="preserve"> (Fig1) </w:t>
      </w:r>
      <w:r w:rsidRPr="00BF1F97">
        <w:rPr>
          <w:rFonts w:ascii="Aptos" w:hAnsi="Aptos" w:cstheme="minorHAnsi"/>
        </w:rPr>
        <w:t>: (1) Leadership (2) Teams (3) Individuals and (4) Organisation wide:</w:t>
      </w:r>
    </w:p>
    <w:p w14:paraId="1E382C34" w14:textId="77777777" w:rsidR="00A23088" w:rsidRPr="00BF1F97" w:rsidRDefault="00A23088" w:rsidP="00A23088">
      <w:pPr>
        <w:numPr>
          <w:ilvl w:val="0"/>
          <w:numId w:val="12"/>
        </w:num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Leadership: Strengthen leadership capability and accountability.</w:t>
      </w:r>
    </w:p>
    <w:p w14:paraId="6C04823B" w14:textId="0F6DB960" w:rsidR="00A23088" w:rsidRPr="00BF1F97" w:rsidRDefault="00A23088" w:rsidP="00A23088">
      <w:pPr>
        <w:numPr>
          <w:ilvl w:val="0"/>
          <w:numId w:val="12"/>
        </w:num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 xml:space="preserve">Teams: Build </w:t>
      </w:r>
      <w:r w:rsidR="001009AE" w:rsidRPr="00BF1F97">
        <w:rPr>
          <w:rFonts w:ascii="Aptos" w:eastAsia="Times New Roman" w:hAnsi="Aptos" w:cs="Times New Roman"/>
          <w:lang w:eastAsia="en-GB"/>
        </w:rPr>
        <w:t>high performing</w:t>
      </w:r>
      <w:r w:rsidRPr="00BF1F97">
        <w:rPr>
          <w:rFonts w:ascii="Aptos" w:eastAsia="Times New Roman" w:hAnsi="Aptos" w:cs="Times New Roman"/>
          <w:lang w:eastAsia="en-GB"/>
        </w:rPr>
        <w:t>, engaged teams.</w:t>
      </w:r>
    </w:p>
    <w:p w14:paraId="04050C3F" w14:textId="77777777" w:rsidR="00A23088" w:rsidRPr="00BF1F97" w:rsidRDefault="00A23088" w:rsidP="00A23088">
      <w:pPr>
        <w:numPr>
          <w:ilvl w:val="0"/>
          <w:numId w:val="12"/>
        </w:num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Individuals: Empower colleagues to own and shape their experience.</w:t>
      </w:r>
    </w:p>
    <w:p w14:paraId="50B37546" w14:textId="77777777" w:rsidR="00A23088" w:rsidRPr="00BF1F97" w:rsidRDefault="00A23088" w:rsidP="00A23088">
      <w:pPr>
        <w:numPr>
          <w:ilvl w:val="0"/>
          <w:numId w:val="12"/>
        </w:num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Organisation-wide: Systematically embed improvements across policies, systems, and culture.</w:t>
      </w:r>
    </w:p>
    <w:p w14:paraId="0FA6D49A" w14:textId="65B2DEBF" w:rsidR="00A23088" w:rsidRPr="00BF1F97" w:rsidRDefault="00A23088" w:rsidP="00A23088">
      <w:p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 xml:space="preserve">(Figure </w:t>
      </w:r>
      <w:r>
        <w:rPr>
          <w:rFonts w:ascii="Aptos" w:eastAsia="Times New Roman" w:hAnsi="Aptos" w:cs="Times New Roman"/>
          <w:lang w:eastAsia="en-GB"/>
        </w:rPr>
        <w:t>2</w:t>
      </w:r>
      <w:r w:rsidRPr="00BF1F97">
        <w:rPr>
          <w:rFonts w:ascii="Aptos" w:eastAsia="Times New Roman" w:hAnsi="Aptos" w:cs="Times New Roman"/>
          <w:lang w:eastAsia="en-GB"/>
        </w:rPr>
        <w:t xml:space="preserve"> </w:t>
      </w:r>
      <w:r>
        <w:rPr>
          <w:rFonts w:ascii="Aptos" w:eastAsia="Times New Roman" w:hAnsi="Aptos" w:cs="Times New Roman"/>
          <w:lang w:eastAsia="en-GB"/>
        </w:rPr>
        <w:t>)</w:t>
      </w:r>
    </w:p>
    <w:p w14:paraId="0E36C714" w14:textId="2013BF0D" w:rsidR="00A23088" w:rsidRPr="00BF1F97" w:rsidRDefault="00A23088" w:rsidP="00A23088">
      <w:pPr>
        <w:spacing w:after="0" w:line="240" w:lineRule="auto"/>
        <w:jc w:val="both"/>
        <w:rPr>
          <w:rFonts w:ascii="Aptos" w:eastAsia="Times New Roman" w:hAnsi="Aptos" w:cs="Times New Roman"/>
          <w:lang w:eastAsia="en-GB"/>
        </w:rPr>
      </w:pPr>
      <w:r w:rsidRPr="00BF1F97">
        <w:rPr>
          <w:rFonts w:ascii="Aptos" w:hAnsi="Aptos"/>
          <w:i/>
          <w:iCs/>
          <w:noProof/>
        </w:rPr>
        <w:drawing>
          <wp:inline distT="0" distB="0" distL="0" distR="0" wp14:anchorId="61A3C338" wp14:editId="19E5E8C3">
            <wp:extent cx="5854700" cy="2844800"/>
            <wp:effectExtent l="0" t="0" r="0" b="0"/>
            <wp:docPr id="2038793739" name="Picture 22" descr="Figure 2: Looking ahead to 2025/26, the Trust People Committee in March agreed to focus on &#10;The delivery of the following People Priorities for 2025/26&#10;&#10;1.Empower, equip, and enable Staff Networks&#10;2. Optimise the role and function of the EDI Team within the Trust.&#10;3.Deliver and embed a robust framework for inclusive recruitment&#10;4. Launch a SWB Inclusive Talent Management Program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93739" name="Picture 22" descr="Figure 2: Looking ahead to 2025/26, the Trust People Committee in March agreed to focus on &#10;The delivery of the following People Priorities for 2025/26&#10;&#10;1.Empower, equip, and enable Staff Networks&#10;2. Optimise the role and function of the EDI Team within the Trust.&#10;3.Deliver and embed a robust framework for inclusive recruitment&#10;4. Launch a SWB Inclusive Talent Management Programme&#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757" cy="2891960"/>
                    </a:xfrm>
                    <a:prstGeom prst="rect">
                      <a:avLst/>
                    </a:prstGeom>
                    <a:noFill/>
                  </pic:spPr>
                </pic:pic>
              </a:graphicData>
            </a:graphic>
          </wp:inline>
        </w:drawing>
      </w:r>
    </w:p>
    <w:p w14:paraId="66800768" w14:textId="77777777" w:rsidR="00A23088" w:rsidRPr="00BF1F97" w:rsidRDefault="00A23088" w:rsidP="00A23088">
      <w:pPr>
        <w:pStyle w:val="NoSpacing"/>
        <w:rPr>
          <w:rFonts w:ascii="Aptos" w:hAnsi="Aptos" w:cs="Calibri"/>
          <w:b/>
        </w:rPr>
      </w:pPr>
    </w:p>
    <w:p w14:paraId="58A90303" w14:textId="77777777" w:rsidR="00A23088" w:rsidRPr="00BF1F97" w:rsidRDefault="00A23088" w:rsidP="00A23088">
      <w:pPr>
        <w:spacing w:after="0" w:line="240" w:lineRule="auto"/>
        <w:contextualSpacing/>
        <w:rPr>
          <w:rFonts w:ascii="Aptos" w:hAnsi="Aptos"/>
        </w:rPr>
      </w:pPr>
    </w:p>
    <w:p w14:paraId="7188FF23" w14:textId="02FF84C8" w:rsidR="00F227DB" w:rsidRPr="001C1754" w:rsidRDefault="00A23088" w:rsidP="001C1754">
      <w:pPr>
        <w:pStyle w:val="NormalWeb"/>
        <w:spacing w:before="0" w:beforeAutospacing="0" w:after="0" w:afterAutospacing="0"/>
        <w:rPr>
          <w:rFonts w:ascii="Aptos" w:hAnsi="Aptos" w:cs="Arial"/>
        </w:rPr>
      </w:pPr>
      <w:r>
        <w:rPr>
          <w:rFonts w:ascii="Aptos" w:hAnsi="Aptos" w:cs="Arial"/>
        </w:rPr>
        <w:t xml:space="preserve">We will through this programme of work also continue to embed </w:t>
      </w:r>
      <w:r w:rsidR="00F227DB" w:rsidRPr="001C1754">
        <w:rPr>
          <w:rFonts w:ascii="Aptos" w:hAnsi="Aptos" w:cs="Arial"/>
        </w:rPr>
        <w:t xml:space="preserve">the following Four high-impact actions </w:t>
      </w:r>
      <w:r>
        <w:rPr>
          <w:rFonts w:ascii="Aptos" w:hAnsi="Aptos" w:cs="Arial"/>
        </w:rPr>
        <w:t xml:space="preserve"> introduced in 2024 </w:t>
      </w:r>
      <w:r w:rsidR="00F227DB" w:rsidRPr="001C1754">
        <w:rPr>
          <w:rFonts w:ascii="Aptos" w:hAnsi="Aptos" w:cs="Arial"/>
        </w:rPr>
        <w:t>to drive further progress:</w:t>
      </w:r>
    </w:p>
    <w:p w14:paraId="2FB0D10F" w14:textId="77777777" w:rsidR="00F227DB" w:rsidRPr="001C1754" w:rsidRDefault="00F227DB" w:rsidP="001C1754">
      <w:pPr>
        <w:pStyle w:val="NormalWeb"/>
        <w:numPr>
          <w:ilvl w:val="0"/>
          <w:numId w:val="9"/>
        </w:numPr>
        <w:spacing w:before="0" w:beforeAutospacing="0" w:after="0" w:afterAutospacing="0"/>
        <w:rPr>
          <w:rFonts w:ascii="Aptos" w:hAnsi="Aptos" w:cs="Arial"/>
        </w:rPr>
      </w:pPr>
      <w:r w:rsidRPr="001C1754">
        <w:rPr>
          <w:rStyle w:val="Strong"/>
          <w:rFonts w:ascii="Aptos" w:eastAsiaTheme="majorEastAsia" w:hAnsi="Aptos" w:cs="Arial"/>
        </w:rPr>
        <w:t>Empower, equip, and enable Staff Networks</w:t>
      </w:r>
    </w:p>
    <w:p w14:paraId="2D51034B" w14:textId="77777777" w:rsidR="00F227DB" w:rsidRPr="001C1754" w:rsidRDefault="00F227DB" w:rsidP="001C1754">
      <w:pPr>
        <w:pStyle w:val="NormalWeb"/>
        <w:numPr>
          <w:ilvl w:val="0"/>
          <w:numId w:val="9"/>
        </w:numPr>
        <w:spacing w:before="0" w:beforeAutospacing="0" w:after="0" w:afterAutospacing="0"/>
        <w:rPr>
          <w:rFonts w:ascii="Aptos" w:hAnsi="Aptos" w:cs="Arial"/>
        </w:rPr>
      </w:pPr>
      <w:r w:rsidRPr="001C1754">
        <w:rPr>
          <w:rStyle w:val="Strong"/>
          <w:rFonts w:ascii="Aptos" w:eastAsiaTheme="majorEastAsia" w:hAnsi="Aptos" w:cs="Arial"/>
        </w:rPr>
        <w:t>Optimise the role and function of the EDI Team within the Trust</w:t>
      </w:r>
    </w:p>
    <w:p w14:paraId="17F81BBB" w14:textId="77777777" w:rsidR="00F227DB" w:rsidRPr="001C1754" w:rsidRDefault="00F227DB" w:rsidP="001C1754">
      <w:pPr>
        <w:pStyle w:val="NormalWeb"/>
        <w:numPr>
          <w:ilvl w:val="0"/>
          <w:numId w:val="9"/>
        </w:numPr>
        <w:spacing w:before="0" w:beforeAutospacing="0" w:after="0" w:afterAutospacing="0"/>
        <w:rPr>
          <w:rFonts w:ascii="Aptos" w:hAnsi="Aptos" w:cs="Arial"/>
        </w:rPr>
      </w:pPr>
      <w:r w:rsidRPr="001C1754">
        <w:rPr>
          <w:rStyle w:val="Strong"/>
          <w:rFonts w:ascii="Aptos" w:eastAsiaTheme="majorEastAsia" w:hAnsi="Aptos" w:cs="Arial"/>
        </w:rPr>
        <w:t>Deliver and embed a robust framework for inclusive recruitment</w:t>
      </w:r>
    </w:p>
    <w:p w14:paraId="244C935A" w14:textId="77777777" w:rsidR="00F227DB" w:rsidRPr="001C1754" w:rsidRDefault="00F227DB" w:rsidP="001C1754">
      <w:pPr>
        <w:pStyle w:val="NormalWeb"/>
        <w:numPr>
          <w:ilvl w:val="0"/>
          <w:numId w:val="9"/>
        </w:numPr>
        <w:spacing w:before="0" w:beforeAutospacing="0" w:after="0" w:afterAutospacing="0"/>
        <w:rPr>
          <w:rFonts w:ascii="Aptos" w:hAnsi="Aptos" w:cs="Arial"/>
        </w:rPr>
      </w:pPr>
      <w:r w:rsidRPr="001C1754">
        <w:rPr>
          <w:rStyle w:val="Strong"/>
          <w:rFonts w:ascii="Aptos" w:eastAsiaTheme="majorEastAsia" w:hAnsi="Aptos" w:cs="Arial"/>
        </w:rPr>
        <w:t>Launch a SWB Inclusive Talent Management Programme</w:t>
      </w:r>
    </w:p>
    <w:p w14:paraId="736327F2" w14:textId="77777777" w:rsidR="00680033" w:rsidRPr="001C1754" w:rsidRDefault="00680033" w:rsidP="001C1754">
      <w:pPr>
        <w:spacing w:after="0" w:line="240" w:lineRule="auto"/>
        <w:rPr>
          <w:rFonts w:ascii="Aptos" w:hAnsi="Aptos" w:cs="Arial"/>
        </w:rPr>
      </w:pPr>
    </w:p>
    <w:p w14:paraId="0788FC93" w14:textId="77777777" w:rsidR="00680033" w:rsidRPr="001C1754" w:rsidRDefault="00680033" w:rsidP="001C1754">
      <w:pPr>
        <w:spacing w:after="0" w:line="240" w:lineRule="auto"/>
        <w:rPr>
          <w:rFonts w:ascii="Aptos" w:hAnsi="Aptos" w:cs="Arial"/>
        </w:rPr>
      </w:pPr>
    </w:p>
    <w:p w14:paraId="4D704A2E" w14:textId="77777777" w:rsidR="00F25458" w:rsidRPr="001C1754" w:rsidRDefault="00F25458" w:rsidP="001C1754">
      <w:pPr>
        <w:spacing w:after="0" w:line="240" w:lineRule="auto"/>
        <w:rPr>
          <w:rFonts w:ascii="Aptos" w:hAnsi="Aptos" w:cs="Arial"/>
        </w:rPr>
      </w:pPr>
    </w:p>
    <w:p w14:paraId="33EFF62C" w14:textId="77777777" w:rsidR="00F25458" w:rsidRPr="001C1754" w:rsidRDefault="00F25458" w:rsidP="001C1754">
      <w:pPr>
        <w:spacing w:after="0" w:line="240" w:lineRule="auto"/>
        <w:rPr>
          <w:rFonts w:ascii="Aptos" w:hAnsi="Aptos" w:cs="Arial"/>
        </w:rPr>
      </w:pPr>
    </w:p>
    <w:p w14:paraId="77155029" w14:textId="77777777" w:rsidR="00F25458" w:rsidRPr="001C1754" w:rsidRDefault="00F25458" w:rsidP="001C1754">
      <w:pPr>
        <w:spacing w:after="0" w:line="240" w:lineRule="auto"/>
        <w:rPr>
          <w:rFonts w:ascii="Aptos" w:hAnsi="Aptos" w:cs="Arial"/>
        </w:rPr>
      </w:pPr>
    </w:p>
    <w:sectPr w:rsidR="00F25458" w:rsidRPr="001C1754">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C481C" w14:textId="77777777" w:rsidR="00A53CC0" w:rsidRDefault="00A53CC0" w:rsidP="00BF1CA1">
      <w:pPr>
        <w:spacing w:after="0" w:line="240" w:lineRule="auto"/>
      </w:pPr>
      <w:r>
        <w:separator/>
      </w:r>
    </w:p>
  </w:endnote>
  <w:endnote w:type="continuationSeparator" w:id="0">
    <w:p w14:paraId="18539ABE" w14:textId="77777777" w:rsidR="00A53CC0" w:rsidRDefault="00A53CC0" w:rsidP="00BF1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6050563"/>
      <w:docPartObj>
        <w:docPartGallery w:val="Page Numbers (Bottom of Page)"/>
        <w:docPartUnique/>
      </w:docPartObj>
    </w:sdtPr>
    <w:sdtEndPr>
      <w:rPr>
        <w:noProof/>
      </w:rPr>
    </w:sdtEndPr>
    <w:sdtContent>
      <w:p w14:paraId="143066D5" w14:textId="487715E3" w:rsidR="00F227DB" w:rsidRDefault="00F227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A967C9" w14:textId="77777777" w:rsidR="00F227DB" w:rsidRDefault="00F22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34264" w14:textId="77777777" w:rsidR="00A53CC0" w:rsidRDefault="00A53CC0" w:rsidP="00BF1CA1">
      <w:pPr>
        <w:spacing w:after="0" w:line="240" w:lineRule="auto"/>
      </w:pPr>
      <w:r>
        <w:separator/>
      </w:r>
    </w:p>
  </w:footnote>
  <w:footnote w:type="continuationSeparator" w:id="0">
    <w:p w14:paraId="3553A6C0" w14:textId="77777777" w:rsidR="00A53CC0" w:rsidRDefault="00A53CC0" w:rsidP="00BF1C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579"/>
    <w:multiLevelType w:val="hybridMultilevel"/>
    <w:tmpl w:val="4FDE7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24492B"/>
    <w:multiLevelType w:val="hybridMultilevel"/>
    <w:tmpl w:val="153E5F2A"/>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15B31721"/>
    <w:multiLevelType w:val="multilevel"/>
    <w:tmpl w:val="205E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71F66"/>
    <w:multiLevelType w:val="multilevel"/>
    <w:tmpl w:val="117072A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C5DA0"/>
    <w:multiLevelType w:val="multilevel"/>
    <w:tmpl w:val="1FFEC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2610F1"/>
    <w:multiLevelType w:val="hybridMultilevel"/>
    <w:tmpl w:val="9FECC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891C21"/>
    <w:multiLevelType w:val="multilevel"/>
    <w:tmpl w:val="CF3A61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2E843825"/>
    <w:multiLevelType w:val="multilevel"/>
    <w:tmpl w:val="117072A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A00485"/>
    <w:multiLevelType w:val="hybridMultilevel"/>
    <w:tmpl w:val="D1FE95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F5D5F2E"/>
    <w:multiLevelType w:val="hybridMultilevel"/>
    <w:tmpl w:val="8B6E76F4"/>
    <w:lvl w:ilvl="0" w:tplc="09BA7E1E">
      <w:start w:val="1"/>
      <w:numFmt w:val="bullet"/>
      <w:lvlText w:val=""/>
      <w:lvlJc w:val="left"/>
      <w:pPr>
        <w:ind w:left="720" w:hanging="360"/>
      </w:pPr>
      <w:rPr>
        <w:rFonts w:ascii="Symbol" w:hAnsi="Symbol" w:hint="default"/>
      </w:rPr>
    </w:lvl>
    <w:lvl w:ilvl="1" w:tplc="A906E9BE">
      <w:start w:val="1"/>
      <w:numFmt w:val="bullet"/>
      <w:lvlText w:val="o"/>
      <w:lvlJc w:val="left"/>
      <w:pPr>
        <w:ind w:left="1440" w:hanging="360"/>
      </w:pPr>
      <w:rPr>
        <w:rFonts w:ascii="Courier New" w:hAnsi="Courier New" w:hint="default"/>
      </w:rPr>
    </w:lvl>
    <w:lvl w:ilvl="2" w:tplc="AE385126">
      <w:start w:val="1"/>
      <w:numFmt w:val="bullet"/>
      <w:lvlText w:val=""/>
      <w:lvlJc w:val="left"/>
      <w:pPr>
        <w:ind w:left="2160" w:hanging="360"/>
      </w:pPr>
      <w:rPr>
        <w:rFonts w:ascii="Wingdings" w:hAnsi="Wingdings" w:hint="default"/>
      </w:rPr>
    </w:lvl>
    <w:lvl w:ilvl="3" w:tplc="A4AE187E">
      <w:start w:val="1"/>
      <w:numFmt w:val="bullet"/>
      <w:lvlText w:val=""/>
      <w:lvlJc w:val="left"/>
      <w:pPr>
        <w:ind w:left="2880" w:hanging="360"/>
      </w:pPr>
      <w:rPr>
        <w:rFonts w:ascii="Symbol" w:hAnsi="Symbol" w:hint="default"/>
      </w:rPr>
    </w:lvl>
    <w:lvl w:ilvl="4" w:tplc="0AD28020">
      <w:start w:val="1"/>
      <w:numFmt w:val="bullet"/>
      <w:lvlText w:val="o"/>
      <w:lvlJc w:val="left"/>
      <w:pPr>
        <w:ind w:left="3600" w:hanging="360"/>
      </w:pPr>
      <w:rPr>
        <w:rFonts w:ascii="Courier New" w:hAnsi="Courier New" w:hint="default"/>
      </w:rPr>
    </w:lvl>
    <w:lvl w:ilvl="5" w:tplc="E3DE441E">
      <w:start w:val="1"/>
      <w:numFmt w:val="bullet"/>
      <w:lvlText w:val=""/>
      <w:lvlJc w:val="left"/>
      <w:pPr>
        <w:ind w:left="4320" w:hanging="360"/>
      </w:pPr>
      <w:rPr>
        <w:rFonts w:ascii="Wingdings" w:hAnsi="Wingdings" w:hint="default"/>
      </w:rPr>
    </w:lvl>
    <w:lvl w:ilvl="6" w:tplc="B07AC1C6">
      <w:start w:val="1"/>
      <w:numFmt w:val="bullet"/>
      <w:lvlText w:val=""/>
      <w:lvlJc w:val="left"/>
      <w:pPr>
        <w:ind w:left="5040" w:hanging="360"/>
      </w:pPr>
      <w:rPr>
        <w:rFonts w:ascii="Symbol" w:hAnsi="Symbol" w:hint="default"/>
      </w:rPr>
    </w:lvl>
    <w:lvl w:ilvl="7" w:tplc="671AD376">
      <w:start w:val="1"/>
      <w:numFmt w:val="bullet"/>
      <w:lvlText w:val="o"/>
      <w:lvlJc w:val="left"/>
      <w:pPr>
        <w:ind w:left="5760" w:hanging="360"/>
      </w:pPr>
      <w:rPr>
        <w:rFonts w:ascii="Courier New" w:hAnsi="Courier New" w:hint="default"/>
      </w:rPr>
    </w:lvl>
    <w:lvl w:ilvl="8" w:tplc="F7484D02">
      <w:start w:val="1"/>
      <w:numFmt w:val="bullet"/>
      <w:lvlText w:val=""/>
      <w:lvlJc w:val="left"/>
      <w:pPr>
        <w:ind w:left="6480" w:hanging="360"/>
      </w:pPr>
      <w:rPr>
        <w:rFonts w:ascii="Wingdings" w:hAnsi="Wingdings" w:hint="default"/>
      </w:rPr>
    </w:lvl>
  </w:abstractNum>
  <w:abstractNum w:abstractNumId="10" w15:restartNumberingAfterBreak="0">
    <w:nsid w:val="5AC916D8"/>
    <w:multiLevelType w:val="hybridMultilevel"/>
    <w:tmpl w:val="E102BCD0"/>
    <w:lvl w:ilvl="0" w:tplc="2F6CAFA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213A4E"/>
    <w:multiLevelType w:val="hybridMultilevel"/>
    <w:tmpl w:val="DE6A1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FA4EAF"/>
    <w:multiLevelType w:val="multilevel"/>
    <w:tmpl w:val="ECF4F100"/>
    <w:lvl w:ilvl="0">
      <w:start w:val="1"/>
      <w:numFmt w:val="decimal"/>
      <w:lvlText w:val="%1."/>
      <w:lvlJc w:val="left"/>
      <w:pPr>
        <w:tabs>
          <w:tab w:val="num" w:pos="1800"/>
        </w:tabs>
        <w:ind w:left="1800" w:hanging="360"/>
      </w:pPr>
    </w:lvl>
    <w:lvl w:ilvl="1">
      <w:start w:val="1"/>
      <w:numFmt w:val="bullet"/>
      <w:lvlText w:val="o"/>
      <w:lvlJc w:val="left"/>
      <w:pPr>
        <w:ind w:left="2083" w:hanging="360"/>
      </w:pPr>
      <w:rPr>
        <w:rFonts w:ascii="Courier New" w:hAnsi="Courier New" w:cs="Courier New" w:hint="default"/>
      </w:rPr>
    </w:lvl>
    <w:lvl w:ilvl="2">
      <w:start w:val="1"/>
      <w:numFmt w:val="bullet"/>
      <w:lvlText w:val="o"/>
      <w:lvlJc w:val="left"/>
      <w:pPr>
        <w:ind w:left="2367" w:hanging="360"/>
      </w:pPr>
      <w:rPr>
        <w:rFonts w:ascii="Courier New" w:hAnsi="Courier New" w:cs="Courier New" w:hint="default"/>
      </w:rPr>
    </w:lvl>
    <w:lvl w:ilvl="3">
      <w:start w:val="1"/>
      <w:numFmt w:val="lowerLetter"/>
      <w:lvlText w:val="(%4)"/>
      <w:lvlJc w:val="left"/>
      <w:pPr>
        <w:ind w:left="3960" w:hanging="360"/>
      </w:pPr>
      <w:rPr>
        <w:rFonts w:hint="default"/>
      </w:r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3" w15:restartNumberingAfterBreak="0">
    <w:nsid w:val="6CAB24DE"/>
    <w:multiLevelType w:val="multilevel"/>
    <w:tmpl w:val="DE88905C"/>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val="0"/>
        <w:bCs/>
        <w:i w:val="0"/>
        <w:iCs w:val="0"/>
        <w:color w:val="000000" w:themeColor="text1"/>
      </w:rPr>
    </w:lvl>
    <w:lvl w:ilvl="2">
      <w:start w:val="1"/>
      <w:numFmt w:val="decimal"/>
      <w:isLgl/>
      <w:lvlText w:val="%1.%2.%3"/>
      <w:lvlJc w:val="left"/>
      <w:pPr>
        <w:ind w:left="1004"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0485294"/>
    <w:multiLevelType w:val="hybridMultilevel"/>
    <w:tmpl w:val="C07A81BE"/>
    <w:lvl w:ilvl="0" w:tplc="31C49C68">
      <w:start w:val="1"/>
      <w:numFmt w:val="decimal"/>
      <w:lvlText w:val="%1."/>
      <w:lvlJc w:val="left"/>
      <w:pPr>
        <w:ind w:left="720" w:hanging="360"/>
      </w:pPr>
      <w:rPr>
        <w:rFonts w:eastAsiaTheme="majorEastAsi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297B19"/>
    <w:multiLevelType w:val="multilevel"/>
    <w:tmpl w:val="5CB4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9F235B"/>
    <w:multiLevelType w:val="multilevel"/>
    <w:tmpl w:val="354E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254294"/>
    <w:multiLevelType w:val="multilevel"/>
    <w:tmpl w:val="0CCA09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7217120">
    <w:abstractNumId w:val="9"/>
  </w:num>
  <w:num w:numId="2" w16cid:durableId="1273050628">
    <w:abstractNumId w:val="0"/>
  </w:num>
  <w:num w:numId="3" w16cid:durableId="1075932400">
    <w:abstractNumId w:val="17"/>
  </w:num>
  <w:num w:numId="4" w16cid:durableId="1206602760">
    <w:abstractNumId w:val="15"/>
  </w:num>
  <w:num w:numId="5" w16cid:durableId="262110355">
    <w:abstractNumId w:val="16"/>
  </w:num>
  <w:num w:numId="6" w16cid:durableId="660741649">
    <w:abstractNumId w:val="13"/>
  </w:num>
  <w:num w:numId="7" w16cid:durableId="1436055290">
    <w:abstractNumId w:val="5"/>
  </w:num>
  <w:num w:numId="8" w16cid:durableId="1678582239">
    <w:abstractNumId w:val="2"/>
  </w:num>
  <w:num w:numId="9" w16cid:durableId="975377260">
    <w:abstractNumId w:val="4"/>
  </w:num>
  <w:num w:numId="10" w16cid:durableId="206185781">
    <w:abstractNumId w:val="10"/>
  </w:num>
  <w:num w:numId="11" w16cid:durableId="239993943">
    <w:abstractNumId w:val="12"/>
  </w:num>
  <w:num w:numId="12" w16cid:durableId="1241257492">
    <w:abstractNumId w:val="6"/>
  </w:num>
  <w:num w:numId="13" w16cid:durableId="827482141">
    <w:abstractNumId w:val="1"/>
  </w:num>
  <w:num w:numId="14" w16cid:durableId="1058817949">
    <w:abstractNumId w:val="14"/>
  </w:num>
  <w:num w:numId="15" w16cid:durableId="2008359866">
    <w:abstractNumId w:val="8"/>
  </w:num>
  <w:num w:numId="16" w16cid:durableId="1602909881">
    <w:abstractNumId w:val="11"/>
  </w:num>
  <w:num w:numId="17" w16cid:durableId="814029328">
    <w:abstractNumId w:val="7"/>
  </w:num>
  <w:num w:numId="18" w16cid:durableId="1572349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readOnly" w:formatting="1" w:enforcement="1" w:cryptProviderType="rsaAES" w:cryptAlgorithmClass="hash" w:cryptAlgorithmType="typeAny" w:cryptAlgorithmSid="14" w:cryptSpinCount="100000" w:hash="TgC8rcgXuT7quYJA8yIy8vA8iy7wkp7GgPiYW0RAT1Q0G6A0JikmsXizwuZsiXXL1UrLhEyqJ3g2j9J9dUJNcg==" w:salt="7HPhiXMXYZ00gy98X1CJT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4D5"/>
    <w:rsid w:val="00002804"/>
    <w:rsid w:val="00010D26"/>
    <w:rsid w:val="000641C4"/>
    <w:rsid w:val="00072810"/>
    <w:rsid w:val="000962F4"/>
    <w:rsid w:val="000B7448"/>
    <w:rsid w:val="000C160B"/>
    <w:rsid w:val="000E700E"/>
    <w:rsid w:val="001009AE"/>
    <w:rsid w:val="00107199"/>
    <w:rsid w:val="001B05F9"/>
    <w:rsid w:val="001C1754"/>
    <w:rsid w:val="001C36FA"/>
    <w:rsid w:val="00220D6F"/>
    <w:rsid w:val="002421D0"/>
    <w:rsid w:val="002E0662"/>
    <w:rsid w:val="002E6C90"/>
    <w:rsid w:val="00305CDD"/>
    <w:rsid w:val="00310021"/>
    <w:rsid w:val="00310701"/>
    <w:rsid w:val="003546EA"/>
    <w:rsid w:val="00354EC9"/>
    <w:rsid w:val="003600D9"/>
    <w:rsid w:val="003D72E3"/>
    <w:rsid w:val="00403DC5"/>
    <w:rsid w:val="00452529"/>
    <w:rsid w:val="00485CDD"/>
    <w:rsid w:val="0051294A"/>
    <w:rsid w:val="0051462F"/>
    <w:rsid w:val="005405B1"/>
    <w:rsid w:val="00583825"/>
    <w:rsid w:val="005C7CE3"/>
    <w:rsid w:val="00631A7C"/>
    <w:rsid w:val="00633DF8"/>
    <w:rsid w:val="00642E46"/>
    <w:rsid w:val="0065717E"/>
    <w:rsid w:val="006632B4"/>
    <w:rsid w:val="00680033"/>
    <w:rsid w:val="006A4DA0"/>
    <w:rsid w:val="006C7A6B"/>
    <w:rsid w:val="006E5532"/>
    <w:rsid w:val="00771B4C"/>
    <w:rsid w:val="007F66A0"/>
    <w:rsid w:val="008030D7"/>
    <w:rsid w:val="00803FAE"/>
    <w:rsid w:val="00812A9D"/>
    <w:rsid w:val="00815261"/>
    <w:rsid w:val="00864E0C"/>
    <w:rsid w:val="00866186"/>
    <w:rsid w:val="008A3E89"/>
    <w:rsid w:val="008F67AA"/>
    <w:rsid w:val="008F6FE9"/>
    <w:rsid w:val="00917AEB"/>
    <w:rsid w:val="00940BE7"/>
    <w:rsid w:val="00955BEE"/>
    <w:rsid w:val="009642DE"/>
    <w:rsid w:val="009A029F"/>
    <w:rsid w:val="009A74AA"/>
    <w:rsid w:val="00A06CDA"/>
    <w:rsid w:val="00A23088"/>
    <w:rsid w:val="00A53CC0"/>
    <w:rsid w:val="00AA26D4"/>
    <w:rsid w:val="00B12422"/>
    <w:rsid w:val="00B8006A"/>
    <w:rsid w:val="00B84D30"/>
    <w:rsid w:val="00BE6351"/>
    <w:rsid w:val="00BF1CA1"/>
    <w:rsid w:val="00BF35E9"/>
    <w:rsid w:val="00C01430"/>
    <w:rsid w:val="00C36CAE"/>
    <w:rsid w:val="00C7232A"/>
    <w:rsid w:val="00CA72CB"/>
    <w:rsid w:val="00CC06B7"/>
    <w:rsid w:val="00CE6824"/>
    <w:rsid w:val="00CF3E86"/>
    <w:rsid w:val="00D22660"/>
    <w:rsid w:val="00D27F50"/>
    <w:rsid w:val="00D43D01"/>
    <w:rsid w:val="00D60F26"/>
    <w:rsid w:val="00D66C03"/>
    <w:rsid w:val="00D964A7"/>
    <w:rsid w:val="00DB20BA"/>
    <w:rsid w:val="00E77BCC"/>
    <w:rsid w:val="00E8611A"/>
    <w:rsid w:val="00EA47AC"/>
    <w:rsid w:val="00EB56BC"/>
    <w:rsid w:val="00ED624F"/>
    <w:rsid w:val="00F227DB"/>
    <w:rsid w:val="00F25458"/>
    <w:rsid w:val="00F341F3"/>
    <w:rsid w:val="00F62019"/>
    <w:rsid w:val="00F8289D"/>
    <w:rsid w:val="00F8470C"/>
    <w:rsid w:val="00FE453B"/>
    <w:rsid w:val="00FF6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F380C5"/>
  <w15:chartTrackingRefBased/>
  <w15:docId w15:val="{2A9E93F0-4D8F-455A-8FC0-60592C80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64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64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64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F64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64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64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64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64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64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4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64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64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F64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64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64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64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64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64D5"/>
    <w:rPr>
      <w:rFonts w:eastAsiaTheme="majorEastAsia" w:cstheme="majorBidi"/>
      <w:color w:val="272727" w:themeColor="text1" w:themeTint="D8"/>
    </w:rPr>
  </w:style>
  <w:style w:type="paragraph" w:styleId="Title">
    <w:name w:val="Title"/>
    <w:basedOn w:val="Normal"/>
    <w:next w:val="Normal"/>
    <w:link w:val="TitleChar"/>
    <w:uiPriority w:val="10"/>
    <w:qFormat/>
    <w:rsid w:val="00FF64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64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64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64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64D5"/>
    <w:pPr>
      <w:spacing w:before="160"/>
      <w:jc w:val="center"/>
    </w:pPr>
    <w:rPr>
      <w:i/>
      <w:iCs/>
      <w:color w:val="404040" w:themeColor="text1" w:themeTint="BF"/>
    </w:rPr>
  </w:style>
  <w:style w:type="character" w:customStyle="1" w:styleId="QuoteChar">
    <w:name w:val="Quote Char"/>
    <w:basedOn w:val="DefaultParagraphFont"/>
    <w:link w:val="Quote"/>
    <w:uiPriority w:val="29"/>
    <w:rsid w:val="00FF64D5"/>
    <w:rPr>
      <w:i/>
      <w:iCs/>
      <w:color w:val="404040" w:themeColor="text1" w:themeTint="BF"/>
    </w:rPr>
  </w:style>
  <w:style w:type="paragraph" w:styleId="ListParagraph">
    <w:name w:val="List Paragraph"/>
    <w:aliases w:val="List Paragraph 1,List Paragraph1,Normal + indent,Dot pt,No Spacing1,List Paragraph Char Char Char,Indicator Text,Numbered Para 1,Bullet 1,F5 List Paragraph,Bullet Points,MAIN CONTENT,Colorful List - Accent 11,List Paragraph2,OBC Bullet,L"/>
    <w:basedOn w:val="Normal"/>
    <w:link w:val="ListParagraphChar"/>
    <w:uiPriority w:val="34"/>
    <w:qFormat/>
    <w:rsid w:val="00FF64D5"/>
    <w:pPr>
      <w:ind w:left="720"/>
      <w:contextualSpacing/>
    </w:pPr>
  </w:style>
  <w:style w:type="character" w:styleId="IntenseEmphasis">
    <w:name w:val="Intense Emphasis"/>
    <w:basedOn w:val="DefaultParagraphFont"/>
    <w:uiPriority w:val="21"/>
    <w:qFormat/>
    <w:rsid w:val="00FF64D5"/>
    <w:rPr>
      <w:i/>
      <w:iCs/>
      <w:color w:val="0F4761" w:themeColor="accent1" w:themeShade="BF"/>
    </w:rPr>
  </w:style>
  <w:style w:type="paragraph" w:styleId="IntenseQuote">
    <w:name w:val="Intense Quote"/>
    <w:basedOn w:val="Normal"/>
    <w:next w:val="Normal"/>
    <w:link w:val="IntenseQuoteChar"/>
    <w:uiPriority w:val="30"/>
    <w:qFormat/>
    <w:rsid w:val="00FF64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64D5"/>
    <w:rPr>
      <w:i/>
      <w:iCs/>
      <w:color w:val="0F4761" w:themeColor="accent1" w:themeShade="BF"/>
    </w:rPr>
  </w:style>
  <w:style w:type="character" w:styleId="IntenseReference">
    <w:name w:val="Intense Reference"/>
    <w:basedOn w:val="DefaultParagraphFont"/>
    <w:uiPriority w:val="32"/>
    <w:qFormat/>
    <w:rsid w:val="00FF64D5"/>
    <w:rPr>
      <w:b/>
      <w:bCs/>
      <w:smallCaps/>
      <w:color w:val="0F4761" w:themeColor="accent1" w:themeShade="BF"/>
      <w:spacing w:val="5"/>
    </w:rPr>
  </w:style>
  <w:style w:type="character" w:styleId="Hyperlink">
    <w:name w:val="Hyperlink"/>
    <w:basedOn w:val="DefaultParagraphFont"/>
    <w:uiPriority w:val="99"/>
    <w:unhideWhenUsed/>
    <w:rsid w:val="00FF64D5"/>
    <w:rPr>
      <w:color w:val="467886" w:themeColor="hyperlink"/>
      <w:u w:val="single"/>
    </w:rPr>
  </w:style>
  <w:style w:type="table" w:styleId="TableGrid">
    <w:name w:val="Table Grid"/>
    <w:basedOn w:val="TableNormal"/>
    <w:uiPriority w:val="39"/>
    <w:rsid w:val="00FF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3E8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CF3E86"/>
    <w:rPr>
      <w:b/>
      <w:bCs/>
    </w:rPr>
  </w:style>
  <w:style w:type="paragraph" w:styleId="Header">
    <w:name w:val="header"/>
    <w:basedOn w:val="Normal"/>
    <w:link w:val="HeaderChar"/>
    <w:uiPriority w:val="99"/>
    <w:unhideWhenUsed/>
    <w:rsid w:val="00BF1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CA1"/>
  </w:style>
  <w:style w:type="paragraph" w:styleId="Footer">
    <w:name w:val="footer"/>
    <w:basedOn w:val="Normal"/>
    <w:link w:val="FooterChar"/>
    <w:uiPriority w:val="99"/>
    <w:unhideWhenUsed/>
    <w:rsid w:val="00BF1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1CA1"/>
  </w:style>
  <w:style w:type="character" w:customStyle="1" w:styleId="ListParagraphChar">
    <w:name w:val="List Paragraph Char"/>
    <w:aliases w:val="List Paragraph 1 Char,List Paragraph1 Char,Normal + indent Char,Dot pt Char,No Spacing1 Char,List Paragraph Char Char Char Char,Indicator Text Char,Numbered Para 1 Char,Bullet 1 Char,F5 List Paragraph Char,Bullet Points Char,L Char"/>
    <w:basedOn w:val="DefaultParagraphFont"/>
    <w:link w:val="ListParagraph"/>
    <w:uiPriority w:val="34"/>
    <w:locked/>
    <w:rsid w:val="00F25458"/>
  </w:style>
  <w:style w:type="character" w:styleId="CommentReference">
    <w:name w:val="annotation reference"/>
    <w:basedOn w:val="DefaultParagraphFont"/>
    <w:uiPriority w:val="99"/>
    <w:semiHidden/>
    <w:unhideWhenUsed/>
    <w:rsid w:val="00F227DB"/>
    <w:rPr>
      <w:sz w:val="16"/>
      <w:szCs w:val="16"/>
    </w:rPr>
  </w:style>
  <w:style w:type="paragraph" w:styleId="CommentText">
    <w:name w:val="annotation text"/>
    <w:basedOn w:val="Normal"/>
    <w:link w:val="CommentTextChar"/>
    <w:uiPriority w:val="99"/>
    <w:unhideWhenUsed/>
    <w:rsid w:val="00F227DB"/>
    <w:pPr>
      <w:spacing w:line="240" w:lineRule="auto"/>
    </w:pPr>
    <w:rPr>
      <w:sz w:val="20"/>
      <w:szCs w:val="20"/>
    </w:rPr>
  </w:style>
  <w:style w:type="character" w:customStyle="1" w:styleId="CommentTextChar">
    <w:name w:val="Comment Text Char"/>
    <w:basedOn w:val="DefaultParagraphFont"/>
    <w:link w:val="CommentText"/>
    <w:uiPriority w:val="99"/>
    <w:rsid w:val="00F227DB"/>
    <w:rPr>
      <w:sz w:val="20"/>
      <w:szCs w:val="20"/>
    </w:rPr>
  </w:style>
  <w:style w:type="paragraph" w:styleId="CommentSubject">
    <w:name w:val="annotation subject"/>
    <w:basedOn w:val="CommentText"/>
    <w:next w:val="CommentText"/>
    <w:link w:val="CommentSubjectChar"/>
    <w:uiPriority w:val="99"/>
    <w:semiHidden/>
    <w:unhideWhenUsed/>
    <w:rsid w:val="00F227DB"/>
    <w:rPr>
      <w:b/>
      <w:bCs/>
    </w:rPr>
  </w:style>
  <w:style w:type="character" w:customStyle="1" w:styleId="CommentSubjectChar">
    <w:name w:val="Comment Subject Char"/>
    <w:basedOn w:val="CommentTextChar"/>
    <w:link w:val="CommentSubject"/>
    <w:uiPriority w:val="99"/>
    <w:semiHidden/>
    <w:rsid w:val="00F227DB"/>
    <w:rPr>
      <w:b/>
      <w:bCs/>
      <w:sz w:val="20"/>
      <w:szCs w:val="20"/>
    </w:rPr>
  </w:style>
  <w:style w:type="paragraph" w:styleId="Revision">
    <w:name w:val="Revision"/>
    <w:hidden/>
    <w:uiPriority w:val="99"/>
    <w:semiHidden/>
    <w:rsid w:val="001C1754"/>
    <w:pPr>
      <w:spacing w:after="0" w:line="240" w:lineRule="auto"/>
    </w:pPr>
  </w:style>
  <w:style w:type="paragraph" w:styleId="NoSpacing">
    <w:name w:val="No Spacing"/>
    <w:link w:val="NoSpacingChar"/>
    <w:uiPriority w:val="1"/>
    <w:qFormat/>
    <w:rsid w:val="00A23088"/>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A2308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55002">
      <w:bodyDiv w:val="1"/>
      <w:marLeft w:val="0"/>
      <w:marRight w:val="0"/>
      <w:marTop w:val="0"/>
      <w:marBottom w:val="0"/>
      <w:divBdr>
        <w:top w:val="none" w:sz="0" w:space="0" w:color="auto"/>
        <w:left w:val="none" w:sz="0" w:space="0" w:color="auto"/>
        <w:bottom w:val="none" w:sz="0" w:space="0" w:color="auto"/>
        <w:right w:val="none" w:sz="0" w:space="0" w:color="auto"/>
      </w:divBdr>
    </w:div>
    <w:div w:id="783159911">
      <w:bodyDiv w:val="1"/>
      <w:marLeft w:val="0"/>
      <w:marRight w:val="0"/>
      <w:marTop w:val="0"/>
      <w:marBottom w:val="0"/>
      <w:divBdr>
        <w:top w:val="none" w:sz="0" w:space="0" w:color="auto"/>
        <w:left w:val="none" w:sz="0" w:space="0" w:color="auto"/>
        <w:bottom w:val="none" w:sz="0" w:space="0" w:color="auto"/>
        <w:right w:val="none" w:sz="0" w:space="0" w:color="auto"/>
      </w:divBdr>
    </w:div>
    <w:div w:id="933781918">
      <w:bodyDiv w:val="1"/>
      <w:marLeft w:val="0"/>
      <w:marRight w:val="0"/>
      <w:marTop w:val="0"/>
      <w:marBottom w:val="0"/>
      <w:divBdr>
        <w:top w:val="none" w:sz="0" w:space="0" w:color="auto"/>
        <w:left w:val="none" w:sz="0" w:space="0" w:color="auto"/>
        <w:bottom w:val="none" w:sz="0" w:space="0" w:color="auto"/>
        <w:right w:val="none" w:sz="0" w:space="0" w:color="auto"/>
      </w:divBdr>
    </w:div>
    <w:div w:id="1126697924">
      <w:bodyDiv w:val="1"/>
      <w:marLeft w:val="0"/>
      <w:marRight w:val="0"/>
      <w:marTop w:val="0"/>
      <w:marBottom w:val="0"/>
      <w:divBdr>
        <w:top w:val="none" w:sz="0" w:space="0" w:color="auto"/>
        <w:left w:val="none" w:sz="0" w:space="0" w:color="auto"/>
        <w:bottom w:val="none" w:sz="0" w:space="0" w:color="auto"/>
        <w:right w:val="none" w:sz="0" w:space="0" w:color="auto"/>
      </w:divBdr>
    </w:div>
    <w:div w:id="1127354877">
      <w:bodyDiv w:val="1"/>
      <w:marLeft w:val="0"/>
      <w:marRight w:val="0"/>
      <w:marTop w:val="0"/>
      <w:marBottom w:val="0"/>
      <w:divBdr>
        <w:top w:val="none" w:sz="0" w:space="0" w:color="auto"/>
        <w:left w:val="none" w:sz="0" w:space="0" w:color="auto"/>
        <w:bottom w:val="none" w:sz="0" w:space="0" w:color="auto"/>
        <w:right w:val="none" w:sz="0" w:space="0" w:color="auto"/>
      </w:divBdr>
    </w:div>
    <w:div w:id="1137651169">
      <w:bodyDiv w:val="1"/>
      <w:marLeft w:val="0"/>
      <w:marRight w:val="0"/>
      <w:marTop w:val="0"/>
      <w:marBottom w:val="0"/>
      <w:divBdr>
        <w:top w:val="none" w:sz="0" w:space="0" w:color="auto"/>
        <w:left w:val="none" w:sz="0" w:space="0" w:color="auto"/>
        <w:bottom w:val="none" w:sz="0" w:space="0" w:color="auto"/>
        <w:right w:val="none" w:sz="0" w:space="0" w:color="auto"/>
      </w:divBdr>
    </w:div>
    <w:div w:id="1224876350">
      <w:bodyDiv w:val="1"/>
      <w:marLeft w:val="0"/>
      <w:marRight w:val="0"/>
      <w:marTop w:val="0"/>
      <w:marBottom w:val="0"/>
      <w:divBdr>
        <w:top w:val="none" w:sz="0" w:space="0" w:color="auto"/>
        <w:left w:val="none" w:sz="0" w:space="0" w:color="auto"/>
        <w:bottom w:val="none" w:sz="0" w:space="0" w:color="auto"/>
        <w:right w:val="none" w:sz="0" w:space="0" w:color="auto"/>
      </w:divBdr>
    </w:div>
    <w:div w:id="1250894751">
      <w:bodyDiv w:val="1"/>
      <w:marLeft w:val="0"/>
      <w:marRight w:val="0"/>
      <w:marTop w:val="0"/>
      <w:marBottom w:val="0"/>
      <w:divBdr>
        <w:top w:val="none" w:sz="0" w:space="0" w:color="auto"/>
        <w:left w:val="none" w:sz="0" w:space="0" w:color="auto"/>
        <w:bottom w:val="none" w:sz="0" w:space="0" w:color="auto"/>
        <w:right w:val="none" w:sz="0" w:space="0" w:color="auto"/>
      </w:divBdr>
    </w:div>
    <w:div w:id="1269312851">
      <w:bodyDiv w:val="1"/>
      <w:marLeft w:val="0"/>
      <w:marRight w:val="0"/>
      <w:marTop w:val="0"/>
      <w:marBottom w:val="0"/>
      <w:divBdr>
        <w:top w:val="none" w:sz="0" w:space="0" w:color="auto"/>
        <w:left w:val="none" w:sz="0" w:space="0" w:color="auto"/>
        <w:bottom w:val="none" w:sz="0" w:space="0" w:color="auto"/>
        <w:right w:val="none" w:sz="0" w:space="0" w:color="auto"/>
      </w:divBdr>
    </w:div>
    <w:div w:id="1344436481">
      <w:bodyDiv w:val="1"/>
      <w:marLeft w:val="0"/>
      <w:marRight w:val="0"/>
      <w:marTop w:val="0"/>
      <w:marBottom w:val="0"/>
      <w:divBdr>
        <w:top w:val="none" w:sz="0" w:space="0" w:color="auto"/>
        <w:left w:val="none" w:sz="0" w:space="0" w:color="auto"/>
        <w:bottom w:val="none" w:sz="0" w:space="0" w:color="auto"/>
        <w:right w:val="none" w:sz="0" w:space="0" w:color="auto"/>
      </w:divBdr>
    </w:div>
    <w:div w:id="1701323742">
      <w:bodyDiv w:val="1"/>
      <w:marLeft w:val="0"/>
      <w:marRight w:val="0"/>
      <w:marTop w:val="0"/>
      <w:marBottom w:val="0"/>
      <w:divBdr>
        <w:top w:val="none" w:sz="0" w:space="0" w:color="auto"/>
        <w:left w:val="none" w:sz="0" w:space="0" w:color="auto"/>
        <w:bottom w:val="none" w:sz="0" w:space="0" w:color="auto"/>
        <w:right w:val="none" w:sz="0" w:space="0" w:color="auto"/>
      </w:divBdr>
    </w:div>
    <w:div w:id="1800874784">
      <w:bodyDiv w:val="1"/>
      <w:marLeft w:val="0"/>
      <w:marRight w:val="0"/>
      <w:marTop w:val="0"/>
      <w:marBottom w:val="0"/>
      <w:divBdr>
        <w:top w:val="none" w:sz="0" w:space="0" w:color="auto"/>
        <w:left w:val="none" w:sz="0" w:space="0" w:color="auto"/>
        <w:bottom w:val="none" w:sz="0" w:space="0" w:color="auto"/>
        <w:right w:val="none" w:sz="0" w:space="0" w:color="auto"/>
      </w:divBdr>
    </w:div>
    <w:div w:id="1807354471">
      <w:bodyDiv w:val="1"/>
      <w:marLeft w:val="0"/>
      <w:marRight w:val="0"/>
      <w:marTop w:val="0"/>
      <w:marBottom w:val="0"/>
      <w:divBdr>
        <w:top w:val="none" w:sz="0" w:space="0" w:color="auto"/>
        <w:left w:val="none" w:sz="0" w:space="0" w:color="auto"/>
        <w:bottom w:val="none" w:sz="0" w:space="0" w:color="auto"/>
        <w:right w:val="none" w:sz="0" w:space="0" w:color="auto"/>
      </w:divBdr>
    </w:div>
    <w:div w:id="1820729007">
      <w:bodyDiv w:val="1"/>
      <w:marLeft w:val="0"/>
      <w:marRight w:val="0"/>
      <w:marTop w:val="0"/>
      <w:marBottom w:val="0"/>
      <w:divBdr>
        <w:top w:val="none" w:sz="0" w:space="0" w:color="auto"/>
        <w:left w:val="none" w:sz="0" w:space="0" w:color="auto"/>
        <w:bottom w:val="none" w:sz="0" w:space="0" w:color="auto"/>
        <w:right w:val="none" w:sz="0" w:space="0" w:color="auto"/>
      </w:divBdr>
    </w:div>
    <w:div w:id="199297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png"/><Relationship Id="rId10" Type="http://schemas.openxmlformats.org/officeDocument/2006/relationships/hyperlink" Target="https://www.nhsstaffsurveys.com/survey-document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ichardssa\AppData\Local\Microsoft\Windows\INetCache\Content.Outlook\VBDM0DD4\WRES%202025%20SWB%20Graphics%20v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Percentage of Staff by Ethnicity (2020-2025)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'Metric 1'!$M$6</c:f>
              <c:strCache>
                <c:ptCount val="1"/>
                <c:pt idx="0">
                  <c:v>White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1'!$L$7:$L$13</c:f>
              <c:strCache>
                <c:ptCount val="7"/>
                <c:pt idx="0">
                  <c:v>SWB (2020)</c:v>
                </c:pt>
                <c:pt idx="1">
                  <c:v>SWB (2021)</c:v>
                </c:pt>
                <c:pt idx="2">
                  <c:v>SWB (2022)</c:v>
                </c:pt>
                <c:pt idx="3">
                  <c:v>SWB (2023)</c:v>
                </c:pt>
                <c:pt idx="4">
                  <c:v>SWB (2024)</c:v>
                </c:pt>
                <c:pt idx="5">
                  <c:v>SWB (2025)</c:v>
                </c:pt>
                <c:pt idx="6">
                  <c:v>National (2024)</c:v>
                </c:pt>
              </c:strCache>
            </c:strRef>
          </c:cat>
          <c:val>
            <c:numRef>
              <c:f>'Metric 1'!$M$7:$M$13</c:f>
              <c:numCache>
                <c:formatCode>0%</c:formatCode>
                <c:ptCount val="7"/>
                <c:pt idx="0">
                  <c:v>0.50929999999999997</c:v>
                </c:pt>
                <c:pt idx="1">
                  <c:v>0.4798</c:v>
                </c:pt>
                <c:pt idx="2">
                  <c:v>0.45700000000000002</c:v>
                </c:pt>
                <c:pt idx="3">
                  <c:v>0.4355</c:v>
                </c:pt>
                <c:pt idx="4">
                  <c:v>0.42959999999999998</c:v>
                </c:pt>
                <c:pt idx="5">
                  <c:v>0.44330000000000003</c:v>
                </c:pt>
                <c:pt idx="6">
                  <c:v>0.67</c:v>
                </c:pt>
              </c:numCache>
            </c:numRef>
          </c:val>
          <c:extLst>
            <c:ext xmlns:c16="http://schemas.microsoft.com/office/drawing/2014/chart" uri="{C3380CC4-5D6E-409C-BE32-E72D297353CC}">
              <c16:uniqueId val="{00000000-3EFC-491E-A979-985F2A4B07B4}"/>
            </c:ext>
          </c:extLst>
        </c:ser>
        <c:ser>
          <c:idx val="1"/>
          <c:order val="1"/>
          <c:tx>
            <c:strRef>
              <c:f>'Metric 1'!$N$6</c:f>
              <c:strCache>
                <c:ptCount val="1"/>
                <c:pt idx="0">
                  <c:v>BME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1'!$L$7:$L$13</c:f>
              <c:strCache>
                <c:ptCount val="7"/>
                <c:pt idx="0">
                  <c:v>SWB (2020)</c:v>
                </c:pt>
                <c:pt idx="1">
                  <c:v>SWB (2021)</c:v>
                </c:pt>
                <c:pt idx="2">
                  <c:v>SWB (2022)</c:v>
                </c:pt>
                <c:pt idx="3">
                  <c:v>SWB (2023)</c:v>
                </c:pt>
                <c:pt idx="4">
                  <c:v>SWB (2024)</c:v>
                </c:pt>
                <c:pt idx="5">
                  <c:v>SWB (2025)</c:v>
                </c:pt>
                <c:pt idx="6">
                  <c:v>National (2024)</c:v>
                </c:pt>
              </c:strCache>
            </c:strRef>
          </c:cat>
          <c:val>
            <c:numRef>
              <c:f>'Metric 1'!$N$7:$N$13</c:f>
              <c:numCache>
                <c:formatCode>0%</c:formatCode>
                <c:ptCount val="7"/>
                <c:pt idx="0">
                  <c:v>0.4042</c:v>
                </c:pt>
                <c:pt idx="1">
                  <c:v>0.40679999999999999</c:v>
                </c:pt>
                <c:pt idx="2">
                  <c:v>0.41660000000000003</c:v>
                </c:pt>
                <c:pt idx="3">
                  <c:v>0.43390000000000001</c:v>
                </c:pt>
                <c:pt idx="4">
                  <c:v>0.45600000000000002</c:v>
                </c:pt>
                <c:pt idx="5">
                  <c:v>0.4541</c:v>
                </c:pt>
                <c:pt idx="6">
                  <c:v>0.28599999999999998</c:v>
                </c:pt>
              </c:numCache>
            </c:numRef>
          </c:val>
          <c:extLst>
            <c:ext xmlns:c16="http://schemas.microsoft.com/office/drawing/2014/chart" uri="{C3380CC4-5D6E-409C-BE32-E72D297353CC}">
              <c16:uniqueId val="{00000001-3EFC-491E-A979-985F2A4B07B4}"/>
            </c:ext>
          </c:extLst>
        </c:ser>
        <c:ser>
          <c:idx val="2"/>
          <c:order val="2"/>
          <c:tx>
            <c:strRef>
              <c:f>'Metric 1'!$O$6</c:f>
              <c:strCache>
                <c:ptCount val="1"/>
                <c:pt idx="0">
                  <c:v>Not Stated / 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1'!$L$7:$L$13</c:f>
              <c:strCache>
                <c:ptCount val="7"/>
                <c:pt idx="0">
                  <c:v>SWB (2020)</c:v>
                </c:pt>
                <c:pt idx="1">
                  <c:v>SWB (2021)</c:v>
                </c:pt>
                <c:pt idx="2">
                  <c:v>SWB (2022)</c:v>
                </c:pt>
                <c:pt idx="3">
                  <c:v>SWB (2023)</c:v>
                </c:pt>
                <c:pt idx="4">
                  <c:v>SWB (2024)</c:v>
                </c:pt>
                <c:pt idx="5">
                  <c:v>SWB (2025)</c:v>
                </c:pt>
                <c:pt idx="6">
                  <c:v>National (2024)</c:v>
                </c:pt>
              </c:strCache>
            </c:strRef>
          </c:cat>
          <c:val>
            <c:numRef>
              <c:f>'Metric 1'!$O$7:$O$13</c:f>
              <c:numCache>
                <c:formatCode>0%</c:formatCode>
                <c:ptCount val="7"/>
                <c:pt idx="0">
                  <c:v>8.6499999999999994E-2</c:v>
                </c:pt>
                <c:pt idx="1">
                  <c:v>0.1135</c:v>
                </c:pt>
                <c:pt idx="2">
                  <c:v>0.1265</c:v>
                </c:pt>
                <c:pt idx="3">
                  <c:v>0.13059999999999999</c:v>
                </c:pt>
                <c:pt idx="4">
                  <c:v>0.1144</c:v>
                </c:pt>
                <c:pt idx="5">
                  <c:v>0.1026</c:v>
                </c:pt>
                <c:pt idx="6">
                  <c:v>4.2999999999999997E-2</c:v>
                </c:pt>
              </c:numCache>
            </c:numRef>
          </c:val>
          <c:extLst>
            <c:ext xmlns:c16="http://schemas.microsoft.com/office/drawing/2014/chart" uri="{C3380CC4-5D6E-409C-BE32-E72D297353CC}">
              <c16:uniqueId val="{00000002-3EFC-491E-A979-985F2A4B07B4}"/>
            </c:ext>
          </c:extLst>
        </c:ser>
        <c:dLbls>
          <c:showLegendKey val="0"/>
          <c:showVal val="0"/>
          <c:showCatName val="0"/>
          <c:showSerName val="0"/>
          <c:showPercent val="0"/>
          <c:showBubbleSize val="0"/>
        </c:dLbls>
        <c:gapWidth val="50"/>
        <c:overlap val="100"/>
        <c:axId val="1413070847"/>
        <c:axId val="1413068927"/>
      </c:barChart>
      <c:catAx>
        <c:axId val="1413070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68927"/>
        <c:crosses val="autoZero"/>
        <c:auto val="1"/>
        <c:lblAlgn val="ctr"/>
        <c:lblOffset val="100"/>
        <c:noMultiLvlLbl val="0"/>
      </c:catAx>
      <c:valAx>
        <c:axId val="1413068927"/>
        <c:scaling>
          <c:orientation val="minMax"/>
          <c:max val="1"/>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70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t>Percentage Representation - Non-Clinical</a:t>
            </a:r>
            <a:r>
              <a:rPr lang="en-US" sz="1200" b="0" baseline="0"/>
              <a:t> Staff by AfC band &amp; ethnicity</a:t>
            </a:r>
            <a:r>
              <a:rPr lang="en-US" sz="1200" b="0"/>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'C:\Users\daniel.peniket\Desktop\WRES WDES\2025\[NHS WRES Pay Grade.xlsx]Sheet2'!$B$6</c:f>
              <c:strCache>
                <c:ptCount val="1"/>
                <c:pt idx="0">
                  <c:v>White</c:v>
                </c:pt>
              </c:strCache>
            </c:strRef>
          </c:tx>
          <c:spPr>
            <a:solidFill>
              <a:schemeClr val="tx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[2]Sheet2!$A$7:$A$19</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[2]Sheet2!$B$7:$B$19</c:f>
              <c:numCache>
                <c:formatCode>General</c:formatCode>
                <c:ptCount val="13"/>
                <c:pt idx="0">
                  <c:v>0</c:v>
                </c:pt>
                <c:pt idx="1">
                  <c:v>0.40466392318244171</c:v>
                </c:pt>
                <c:pt idx="2">
                  <c:v>0.46271929824561403</c:v>
                </c:pt>
                <c:pt idx="3">
                  <c:v>0.60810810810810811</c:v>
                </c:pt>
                <c:pt idx="4">
                  <c:v>0.54838709677419351</c:v>
                </c:pt>
                <c:pt idx="5">
                  <c:v>0.50442477876106195</c:v>
                </c:pt>
                <c:pt idx="6">
                  <c:v>0.54081632653061229</c:v>
                </c:pt>
                <c:pt idx="7">
                  <c:v>0.63013698630136983</c:v>
                </c:pt>
                <c:pt idx="8">
                  <c:v>0.81632653061224492</c:v>
                </c:pt>
                <c:pt idx="9">
                  <c:v>0.75</c:v>
                </c:pt>
                <c:pt idx="10">
                  <c:v>0.69230769230769229</c:v>
                </c:pt>
                <c:pt idx="11">
                  <c:v>0.76923076923076927</c:v>
                </c:pt>
                <c:pt idx="12">
                  <c:v>0.77777777777777779</c:v>
                </c:pt>
              </c:numCache>
            </c:numRef>
          </c:val>
          <c:extLst>
            <c:ext xmlns:c16="http://schemas.microsoft.com/office/drawing/2014/chart" uri="{C3380CC4-5D6E-409C-BE32-E72D297353CC}">
              <c16:uniqueId val="{00000000-A58A-4E77-8DD2-F3E1CC144A54}"/>
            </c:ext>
          </c:extLst>
        </c:ser>
        <c:ser>
          <c:idx val="1"/>
          <c:order val="1"/>
          <c:tx>
            <c:strRef>
              <c:f>'C:\Users\daniel.peniket\Desktop\WRES WDES\2025\[NHS WRES Pay Grade.xlsx]Sheet2'!$C$6</c:f>
              <c:strCache>
                <c:ptCount val="1"/>
                <c:pt idx="0">
                  <c:v>BME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A58A-4E77-8DD2-F3E1CC144A5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[2]Sheet2!$A$7:$A$19</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[2]Sheet2!$C$7:$C$19</c:f>
              <c:numCache>
                <c:formatCode>General</c:formatCode>
                <c:ptCount val="13"/>
                <c:pt idx="0">
                  <c:v>0</c:v>
                </c:pt>
                <c:pt idx="1">
                  <c:v>0.48559670781893005</c:v>
                </c:pt>
                <c:pt idx="2">
                  <c:v>0.42763157894736842</c:v>
                </c:pt>
                <c:pt idx="3">
                  <c:v>0.32432432432432434</c:v>
                </c:pt>
                <c:pt idx="4">
                  <c:v>0.38064516129032255</c:v>
                </c:pt>
                <c:pt idx="5">
                  <c:v>0.44247787610619471</c:v>
                </c:pt>
                <c:pt idx="6">
                  <c:v>0.38775510204081631</c:v>
                </c:pt>
                <c:pt idx="7">
                  <c:v>0.34246575342465752</c:v>
                </c:pt>
                <c:pt idx="8">
                  <c:v>0.14285714285714285</c:v>
                </c:pt>
                <c:pt idx="9">
                  <c:v>0.21428571428571427</c:v>
                </c:pt>
                <c:pt idx="10">
                  <c:v>0.15384615384615385</c:v>
                </c:pt>
                <c:pt idx="11">
                  <c:v>0.15384615384615385</c:v>
                </c:pt>
                <c:pt idx="12">
                  <c:v>0.22222222222222221</c:v>
                </c:pt>
              </c:numCache>
            </c:numRef>
          </c:val>
          <c:extLst>
            <c:ext xmlns:c16="http://schemas.microsoft.com/office/drawing/2014/chart" uri="{C3380CC4-5D6E-409C-BE32-E72D297353CC}">
              <c16:uniqueId val="{00000002-A58A-4E77-8DD2-F3E1CC144A54}"/>
            </c:ext>
          </c:extLst>
        </c:ser>
        <c:ser>
          <c:idx val="2"/>
          <c:order val="2"/>
          <c:tx>
            <c:strRef>
              <c:f>'C:\Users\daniel.peniket\Desktop\WRES WDES\2025\[NHS WRES Pay Grade.xlsx]Sheet2'!$D$6</c:f>
              <c:strCache>
                <c:ptCount val="1"/>
                <c:pt idx="0">
                  <c:v>Not Stated / Unknown</c:v>
                </c:pt>
              </c:strCache>
            </c:strRef>
          </c:tx>
          <c:spPr>
            <a:solidFill>
              <a:schemeClr val="accent6"/>
            </a:solidFill>
            <a:ln>
              <a:noFill/>
            </a:ln>
            <a:effectLst/>
          </c:spPr>
          <c:invertIfNegative val="0"/>
          <c:dLbls>
            <c:dLbl>
              <c:idx val="12"/>
              <c:delete val="1"/>
              <c:extLst>
                <c:ext xmlns:c15="http://schemas.microsoft.com/office/drawing/2012/chart" uri="{CE6537A1-D6FC-4f65-9D91-7224C49458BB}"/>
                <c:ext xmlns:c16="http://schemas.microsoft.com/office/drawing/2014/chart" uri="{C3380CC4-5D6E-409C-BE32-E72D297353CC}">
                  <c16:uniqueId val="{00000003-A58A-4E77-8DD2-F3E1CC144A5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[2]Sheet2!$A$7:$A$19</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[2]Sheet2!$D$7:$D$19</c:f>
              <c:numCache>
                <c:formatCode>General</c:formatCode>
                <c:ptCount val="13"/>
                <c:pt idx="1">
                  <c:v>0.10973936899862825</c:v>
                </c:pt>
                <c:pt idx="2">
                  <c:v>0.10964912280701754</c:v>
                </c:pt>
                <c:pt idx="3">
                  <c:v>6.7567567567567571E-2</c:v>
                </c:pt>
                <c:pt idx="4">
                  <c:v>7.0967741935483872E-2</c:v>
                </c:pt>
                <c:pt idx="5">
                  <c:v>5.3097345132743362E-2</c:v>
                </c:pt>
                <c:pt idx="6">
                  <c:v>7.1428571428571425E-2</c:v>
                </c:pt>
                <c:pt idx="7">
                  <c:v>2.7397260273972601E-2</c:v>
                </c:pt>
                <c:pt idx="8">
                  <c:v>4.0816326530612242E-2</c:v>
                </c:pt>
                <c:pt idx="9">
                  <c:v>3.5714285714285712E-2</c:v>
                </c:pt>
                <c:pt idx="10">
                  <c:v>0.15384615384615385</c:v>
                </c:pt>
                <c:pt idx="11">
                  <c:v>7.6923076923076927E-2</c:v>
                </c:pt>
                <c:pt idx="12">
                  <c:v>0</c:v>
                </c:pt>
              </c:numCache>
            </c:numRef>
          </c:val>
          <c:extLst>
            <c:ext xmlns:c16="http://schemas.microsoft.com/office/drawing/2014/chart" uri="{C3380CC4-5D6E-409C-BE32-E72D297353CC}">
              <c16:uniqueId val="{00000004-A58A-4E77-8DD2-F3E1CC144A54}"/>
            </c:ext>
          </c:extLst>
        </c:ser>
        <c:dLbls>
          <c:showLegendKey val="0"/>
          <c:showVal val="0"/>
          <c:showCatName val="0"/>
          <c:showSerName val="0"/>
          <c:showPercent val="0"/>
          <c:showBubbleSize val="0"/>
        </c:dLbls>
        <c:gapWidth val="25"/>
        <c:overlap val="100"/>
        <c:axId val="1413038207"/>
        <c:axId val="1413051167"/>
      </c:barChart>
      <c:catAx>
        <c:axId val="1413038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51167"/>
        <c:crosses val="autoZero"/>
        <c:auto val="1"/>
        <c:lblAlgn val="ctr"/>
        <c:lblOffset val="100"/>
        <c:noMultiLvlLbl val="0"/>
      </c:catAx>
      <c:valAx>
        <c:axId val="1413051167"/>
        <c:scaling>
          <c:orientation val="minMax"/>
          <c:max val="1"/>
          <c:min val="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38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t>Percentage Representation - Clinical</a:t>
            </a:r>
            <a:r>
              <a:rPr lang="en-US" sz="1200" b="0" baseline="0"/>
              <a:t> Staff by AfC band &amp; ethnicity</a:t>
            </a:r>
            <a:r>
              <a:rPr lang="en-US" sz="1200" b="0"/>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'C:\Users\daniel.peniket\Desktop\WRES WDES\2025\[NHS WRES Pay Grade.xlsx]Sheet2'!$K$6</c:f>
              <c:strCache>
                <c:ptCount val="1"/>
                <c:pt idx="0">
                  <c:v>White</c:v>
                </c:pt>
              </c:strCache>
            </c:strRef>
          </c:tx>
          <c:spPr>
            <a:solidFill>
              <a:schemeClr val="tx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[2]Sheet2!$J$7:$J$19</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[2]Sheet2!$K$7:$K$19</c:f>
              <c:numCache>
                <c:formatCode>General</c:formatCode>
                <c:ptCount val="13"/>
                <c:pt idx="0">
                  <c:v>1</c:v>
                </c:pt>
                <c:pt idx="1">
                  <c:v>0.32558139534883723</c:v>
                </c:pt>
                <c:pt idx="2">
                  <c:v>0.43143812709030099</c:v>
                </c:pt>
                <c:pt idx="3">
                  <c:v>0.53813559322033899</c:v>
                </c:pt>
                <c:pt idx="4">
                  <c:v>0.21785173978819969</c:v>
                </c:pt>
                <c:pt idx="5">
                  <c:v>0.47339158061953934</c:v>
                </c:pt>
                <c:pt idx="6">
                  <c:v>0.60840108401084014</c:v>
                </c:pt>
                <c:pt idx="7">
                  <c:v>0.61777777777777776</c:v>
                </c:pt>
                <c:pt idx="8">
                  <c:v>0.56000000000000005</c:v>
                </c:pt>
                <c:pt idx="9">
                  <c:v>0.75</c:v>
                </c:pt>
                <c:pt idx="10">
                  <c:v>0.75</c:v>
                </c:pt>
                <c:pt idx="11">
                  <c:v>0.8</c:v>
                </c:pt>
                <c:pt idx="12">
                  <c:v>1</c:v>
                </c:pt>
              </c:numCache>
            </c:numRef>
          </c:val>
          <c:extLst>
            <c:ext xmlns:c16="http://schemas.microsoft.com/office/drawing/2014/chart" uri="{C3380CC4-5D6E-409C-BE32-E72D297353CC}">
              <c16:uniqueId val="{00000000-8F0D-45B1-9563-ED97F90A9172}"/>
            </c:ext>
          </c:extLst>
        </c:ser>
        <c:ser>
          <c:idx val="1"/>
          <c:order val="1"/>
          <c:tx>
            <c:strRef>
              <c:f>'C:\Users\daniel.peniket\Desktop\WRES WDES\2025\[NHS WRES Pay Grade.xlsx]Sheet2'!$L$6</c:f>
              <c:strCache>
                <c:ptCount val="1"/>
                <c:pt idx="0">
                  <c:v>BME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8F0D-45B1-9563-ED97F90A9172}"/>
                </c:ext>
              </c:extLst>
            </c:dLbl>
            <c:dLbl>
              <c:idx val="12"/>
              <c:delete val="1"/>
              <c:extLst>
                <c:ext xmlns:c15="http://schemas.microsoft.com/office/drawing/2012/chart" uri="{CE6537A1-D6FC-4f65-9D91-7224C49458BB}"/>
                <c:ext xmlns:c16="http://schemas.microsoft.com/office/drawing/2014/chart" uri="{C3380CC4-5D6E-409C-BE32-E72D297353CC}">
                  <c16:uniqueId val="{00000002-8F0D-45B1-9563-ED97F90A917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[2]Sheet2!$J$7:$J$19</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[2]Sheet2!$L$7:$L$19</c:f>
              <c:numCache>
                <c:formatCode>General</c:formatCode>
                <c:ptCount val="13"/>
                <c:pt idx="0">
                  <c:v>0</c:v>
                </c:pt>
                <c:pt idx="1">
                  <c:v>0.56871035940803383</c:v>
                </c:pt>
                <c:pt idx="2">
                  <c:v>0.49721293199554067</c:v>
                </c:pt>
                <c:pt idx="3">
                  <c:v>0.39830508474576271</c:v>
                </c:pt>
                <c:pt idx="4">
                  <c:v>0.56127080181543121</c:v>
                </c:pt>
                <c:pt idx="5">
                  <c:v>0.45274027005559969</c:v>
                </c:pt>
                <c:pt idx="6">
                  <c:v>0.35230352303523033</c:v>
                </c:pt>
                <c:pt idx="7">
                  <c:v>0.30222222222222223</c:v>
                </c:pt>
                <c:pt idx="8">
                  <c:v>0.34</c:v>
                </c:pt>
                <c:pt idx="9">
                  <c:v>0.25</c:v>
                </c:pt>
                <c:pt idx="10">
                  <c:v>0.16666666666666666</c:v>
                </c:pt>
                <c:pt idx="11">
                  <c:v>0.2</c:v>
                </c:pt>
                <c:pt idx="12">
                  <c:v>0</c:v>
                </c:pt>
              </c:numCache>
            </c:numRef>
          </c:val>
          <c:extLst>
            <c:ext xmlns:c16="http://schemas.microsoft.com/office/drawing/2014/chart" uri="{C3380CC4-5D6E-409C-BE32-E72D297353CC}">
              <c16:uniqueId val="{00000003-8F0D-45B1-9563-ED97F90A9172}"/>
            </c:ext>
          </c:extLst>
        </c:ser>
        <c:ser>
          <c:idx val="2"/>
          <c:order val="2"/>
          <c:tx>
            <c:strRef>
              <c:f>'C:\Users\daniel.peniket\Desktop\WRES WDES\2025\[NHS WRES Pay Grade.xlsx]Sheet2'!$M$6</c:f>
              <c:strCache>
                <c:ptCount val="1"/>
                <c:pt idx="0">
                  <c:v>Not Stated / Unknown</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8F0D-45B1-9563-ED97F90A9172}"/>
                </c:ext>
              </c:extLst>
            </c:dLbl>
            <c:dLbl>
              <c:idx val="9"/>
              <c:delete val="1"/>
              <c:extLst>
                <c:ext xmlns:c15="http://schemas.microsoft.com/office/drawing/2012/chart" uri="{CE6537A1-D6FC-4f65-9D91-7224C49458BB}"/>
                <c:ext xmlns:c16="http://schemas.microsoft.com/office/drawing/2014/chart" uri="{C3380CC4-5D6E-409C-BE32-E72D297353CC}">
                  <c16:uniqueId val="{00000005-8F0D-45B1-9563-ED97F90A9172}"/>
                </c:ext>
              </c:extLst>
            </c:dLbl>
            <c:dLbl>
              <c:idx val="11"/>
              <c:delete val="1"/>
              <c:extLst>
                <c:ext xmlns:c15="http://schemas.microsoft.com/office/drawing/2012/chart" uri="{CE6537A1-D6FC-4f65-9D91-7224C49458BB}"/>
                <c:ext xmlns:c16="http://schemas.microsoft.com/office/drawing/2014/chart" uri="{C3380CC4-5D6E-409C-BE32-E72D297353CC}">
                  <c16:uniqueId val="{00000006-8F0D-45B1-9563-ED97F90A9172}"/>
                </c:ext>
              </c:extLst>
            </c:dLbl>
            <c:dLbl>
              <c:idx val="12"/>
              <c:delete val="1"/>
              <c:extLst>
                <c:ext xmlns:c15="http://schemas.microsoft.com/office/drawing/2012/chart" uri="{CE6537A1-D6FC-4f65-9D91-7224C49458BB}"/>
                <c:ext xmlns:c16="http://schemas.microsoft.com/office/drawing/2014/chart" uri="{C3380CC4-5D6E-409C-BE32-E72D297353CC}">
                  <c16:uniqueId val="{00000007-8F0D-45B1-9563-ED97F90A917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[2]Sheet2!$J$7:$J$19</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[2]Sheet2!$M$7:$M$19</c:f>
              <c:numCache>
                <c:formatCode>General</c:formatCode>
                <c:ptCount val="13"/>
                <c:pt idx="0">
                  <c:v>0</c:v>
                </c:pt>
                <c:pt idx="1">
                  <c:v>0.10570824524312897</c:v>
                </c:pt>
                <c:pt idx="2">
                  <c:v>7.1348940914158304E-2</c:v>
                </c:pt>
                <c:pt idx="3">
                  <c:v>6.3559322033898302E-2</c:v>
                </c:pt>
                <c:pt idx="4">
                  <c:v>0.22087745839636913</c:v>
                </c:pt>
                <c:pt idx="5">
                  <c:v>7.3868149324861007E-2</c:v>
                </c:pt>
                <c:pt idx="6">
                  <c:v>3.9295392953929538E-2</c:v>
                </c:pt>
                <c:pt idx="7">
                  <c:v>0.08</c:v>
                </c:pt>
                <c:pt idx="8">
                  <c:v>0.1</c:v>
                </c:pt>
                <c:pt idx="9">
                  <c:v>0</c:v>
                </c:pt>
                <c:pt idx="10">
                  <c:v>8.3333333333333329E-2</c:v>
                </c:pt>
                <c:pt idx="11">
                  <c:v>0</c:v>
                </c:pt>
                <c:pt idx="12">
                  <c:v>0</c:v>
                </c:pt>
              </c:numCache>
            </c:numRef>
          </c:val>
          <c:extLst>
            <c:ext xmlns:c16="http://schemas.microsoft.com/office/drawing/2014/chart" uri="{C3380CC4-5D6E-409C-BE32-E72D297353CC}">
              <c16:uniqueId val="{00000008-8F0D-45B1-9563-ED97F90A9172}"/>
            </c:ext>
          </c:extLst>
        </c:ser>
        <c:dLbls>
          <c:showLegendKey val="0"/>
          <c:showVal val="0"/>
          <c:showCatName val="0"/>
          <c:showSerName val="0"/>
          <c:showPercent val="0"/>
          <c:showBubbleSize val="0"/>
        </c:dLbls>
        <c:gapWidth val="25"/>
        <c:overlap val="100"/>
        <c:axId val="1413038207"/>
        <c:axId val="1413051167"/>
      </c:barChart>
      <c:catAx>
        <c:axId val="1413038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51167"/>
        <c:crosses val="autoZero"/>
        <c:auto val="1"/>
        <c:lblAlgn val="ctr"/>
        <c:lblOffset val="100"/>
        <c:noMultiLvlLbl val="0"/>
      </c:catAx>
      <c:valAx>
        <c:axId val="1413051167"/>
        <c:scaling>
          <c:orientation val="minMax"/>
          <c:max val="1"/>
          <c:min val="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38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Relative likelihood of white applicants being appointed from shortlisting across all posts compared to BME applicants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'Metric 2'!$A$13</c:f>
              <c:strCache>
                <c:ptCount val="1"/>
                <c:pt idx="0">
                  <c:v>Relative likelihood of white applicants being appointed from shortlisting across all posts compared to applications from all other ethnic groups</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2'!$B$12:$H$12</c:f>
              <c:strCache>
                <c:ptCount val="7"/>
                <c:pt idx="0">
                  <c:v>National 2024</c:v>
                </c:pt>
                <c:pt idx="1">
                  <c:v>SWBH 2020</c:v>
                </c:pt>
                <c:pt idx="2">
                  <c:v>SWBH 2021</c:v>
                </c:pt>
                <c:pt idx="3">
                  <c:v>SWBH 2022</c:v>
                </c:pt>
                <c:pt idx="4">
                  <c:v>SWBH 2023</c:v>
                </c:pt>
                <c:pt idx="5">
                  <c:v>SWBH 2024</c:v>
                </c:pt>
                <c:pt idx="6">
                  <c:v>SWBH 2025</c:v>
                </c:pt>
              </c:strCache>
            </c:strRef>
          </c:cat>
          <c:val>
            <c:numRef>
              <c:f>'Metric 2'!$B$13:$H$13</c:f>
              <c:numCache>
                <c:formatCode>General</c:formatCode>
                <c:ptCount val="7"/>
                <c:pt idx="0">
                  <c:v>1.71</c:v>
                </c:pt>
                <c:pt idx="1">
                  <c:v>1.01</c:v>
                </c:pt>
                <c:pt idx="2">
                  <c:v>1.26</c:v>
                </c:pt>
                <c:pt idx="3">
                  <c:v>1.69</c:v>
                </c:pt>
                <c:pt idx="4">
                  <c:v>1.1499999999999999</c:v>
                </c:pt>
                <c:pt idx="5">
                  <c:v>1.06</c:v>
                </c:pt>
                <c:pt idx="6">
                  <c:v>1.54</c:v>
                </c:pt>
              </c:numCache>
            </c:numRef>
          </c:val>
          <c:extLst>
            <c:ext xmlns:c16="http://schemas.microsoft.com/office/drawing/2014/chart" uri="{C3380CC4-5D6E-409C-BE32-E72D297353CC}">
              <c16:uniqueId val="{00000000-715A-49F0-A4A1-5D77997EBE32}"/>
            </c:ext>
          </c:extLst>
        </c:ser>
        <c:dLbls>
          <c:showLegendKey val="0"/>
          <c:showVal val="0"/>
          <c:showCatName val="0"/>
          <c:showSerName val="0"/>
          <c:showPercent val="0"/>
          <c:showBubbleSize val="0"/>
        </c:dLbls>
        <c:gapWidth val="219"/>
        <c:overlap val="-27"/>
        <c:axId val="1203557359"/>
        <c:axId val="1203560239"/>
      </c:barChart>
      <c:catAx>
        <c:axId val="120355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03560239"/>
        <c:crosses val="autoZero"/>
        <c:auto val="1"/>
        <c:lblAlgn val="ctr"/>
        <c:lblOffset val="100"/>
        <c:noMultiLvlLbl val="0"/>
      </c:catAx>
      <c:valAx>
        <c:axId val="1203560239"/>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557359"/>
        <c:crosses val="autoZero"/>
        <c:crossBetween val="between"/>
        <c:majorUnit val="0.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t>Indicator 3 -Relative likelihood of BME</a:t>
            </a:r>
            <a:r>
              <a:rPr lang="en-US" sz="1200" b="0" baseline="0"/>
              <a:t> staff e</a:t>
            </a:r>
            <a:r>
              <a:rPr lang="en-US" sz="1200" b="0"/>
              <a:t>ntering the formal disciplinary process compared to white staff</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'Metric 3'!$A$7</c:f>
              <c:strCache>
                <c:ptCount val="1"/>
                <c:pt idx="0">
                  <c:v>Relative Likelihood of entering process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3'!$B$4:$E$4</c:f>
              <c:strCache>
                <c:ptCount val="4"/>
                <c:pt idx="0">
                  <c:v>White</c:v>
                </c:pt>
                <c:pt idx="1">
                  <c:v>BME</c:v>
                </c:pt>
                <c:pt idx="2">
                  <c:v>Not Stated / Unknown</c:v>
                </c:pt>
                <c:pt idx="3">
                  <c:v>Grand Total</c:v>
                </c:pt>
              </c:strCache>
            </c:strRef>
          </c:cat>
          <c:val>
            <c:numRef>
              <c:f>'Metric 3'!$B$7:$E$7</c:f>
              <c:numCache>
                <c:formatCode>0.0%</c:formatCode>
                <c:ptCount val="4"/>
                <c:pt idx="0">
                  <c:v>3.323699421965318E-3</c:v>
                </c:pt>
                <c:pt idx="1">
                  <c:v>3.6268134067033516E-3</c:v>
                </c:pt>
                <c:pt idx="2">
                  <c:v>1.970954356846473E-2</c:v>
                </c:pt>
                <c:pt idx="3">
                  <c:v>5.3431488957492281E-3</c:v>
                </c:pt>
              </c:numCache>
            </c:numRef>
          </c:val>
          <c:extLst>
            <c:ext xmlns:c16="http://schemas.microsoft.com/office/drawing/2014/chart" uri="{C3380CC4-5D6E-409C-BE32-E72D297353CC}">
              <c16:uniqueId val="{00000000-89E9-40D9-85B3-DD45C63922D3}"/>
            </c:ext>
          </c:extLst>
        </c:ser>
        <c:dLbls>
          <c:showLegendKey val="0"/>
          <c:showVal val="0"/>
          <c:showCatName val="0"/>
          <c:showSerName val="0"/>
          <c:showPercent val="0"/>
          <c:showBubbleSize val="0"/>
        </c:dLbls>
        <c:gapWidth val="219"/>
        <c:overlap val="-27"/>
        <c:axId val="86698463"/>
        <c:axId val="86698943"/>
      </c:barChart>
      <c:catAx>
        <c:axId val="86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98943"/>
        <c:crosses val="autoZero"/>
        <c:auto val="1"/>
        <c:lblAlgn val="ctr"/>
        <c:lblOffset val="100"/>
        <c:noMultiLvlLbl val="0"/>
      </c:catAx>
      <c:valAx>
        <c:axId val="866989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98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t>Indicator 3 -</a:t>
            </a:r>
            <a:r>
              <a:rPr lang="en-GB" sz="1200" b="0" i="0" u="none" strike="noStrike" baseline="0">
                <a:effectLst/>
              </a:rPr>
              <a:t>relative likelihood of white staff accessing non–mandatory training compared to ethnically diverse staff </a:t>
            </a:r>
            <a:endParaRPr lang="en-US" sz="1200" b="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'Metric 4'!$A$7</c:f>
              <c:strCache>
                <c:ptCount val="1"/>
                <c:pt idx="0">
                  <c:v>Relative Likelihood of accessing Non-Mand Training</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4'!$B$4:$E$4</c:f>
              <c:strCache>
                <c:ptCount val="4"/>
                <c:pt idx="0">
                  <c:v>White</c:v>
                </c:pt>
                <c:pt idx="1">
                  <c:v>BME</c:v>
                </c:pt>
                <c:pt idx="2">
                  <c:v>Not Stated / Unknown</c:v>
                </c:pt>
                <c:pt idx="3">
                  <c:v>Grand Total</c:v>
                </c:pt>
              </c:strCache>
            </c:strRef>
          </c:cat>
          <c:val>
            <c:numRef>
              <c:f>'Metric 4'!$B$7:$E$7</c:f>
              <c:numCache>
                <c:formatCode>0.0%</c:formatCode>
                <c:ptCount val="4"/>
                <c:pt idx="0">
                  <c:v>0.33497109826589594</c:v>
                </c:pt>
                <c:pt idx="1">
                  <c:v>0.32891445722861429</c:v>
                </c:pt>
                <c:pt idx="2">
                  <c:v>0.30186721991701243</c:v>
                </c:pt>
                <c:pt idx="3">
                  <c:v>0.32830681548325813</c:v>
                </c:pt>
              </c:numCache>
            </c:numRef>
          </c:val>
          <c:extLst>
            <c:ext xmlns:c16="http://schemas.microsoft.com/office/drawing/2014/chart" uri="{C3380CC4-5D6E-409C-BE32-E72D297353CC}">
              <c16:uniqueId val="{00000000-4330-407F-9194-0EC539649123}"/>
            </c:ext>
          </c:extLst>
        </c:ser>
        <c:dLbls>
          <c:showLegendKey val="0"/>
          <c:showVal val="0"/>
          <c:showCatName val="0"/>
          <c:showSerName val="0"/>
          <c:showPercent val="0"/>
          <c:showBubbleSize val="0"/>
        </c:dLbls>
        <c:gapWidth val="219"/>
        <c:overlap val="-27"/>
        <c:axId val="86698463"/>
        <c:axId val="86698943"/>
      </c:barChart>
      <c:catAx>
        <c:axId val="86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98943"/>
        <c:crosses val="autoZero"/>
        <c:auto val="1"/>
        <c:lblAlgn val="ctr"/>
        <c:lblOffset val="100"/>
        <c:noMultiLvlLbl val="0"/>
      </c:catAx>
      <c:valAx>
        <c:axId val="866989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98463"/>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Board Representation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'C:\Users\daniel.peniket\Desktop\WRES WDES\2025\[NHS WRES Board Voting.xlsx]Sheet1'!$B$14</c:f>
              <c:strCache>
                <c:ptCount val="1"/>
                <c:pt idx="0">
                  <c:v>BME</c:v>
                </c:pt>
              </c:strCache>
            </c:strRef>
          </c:tx>
          <c:spPr>
            <a:solidFill>
              <a:schemeClr val="tx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[3]Sheet1!$A$15:$A$16</c:f>
              <c:strCache>
                <c:ptCount val="2"/>
                <c:pt idx="0">
                  <c:v>Total Board Members (Exec / Non Exec)</c:v>
                </c:pt>
                <c:pt idx="1">
                  <c:v>of which Voting Member</c:v>
                </c:pt>
              </c:strCache>
            </c:strRef>
          </c:cat>
          <c:val>
            <c:numRef>
              <c:f>[3]Sheet1!$B$15:$B$16</c:f>
              <c:numCache>
                <c:formatCode>General</c:formatCode>
                <c:ptCount val="2"/>
                <c:pt idx="0">
                  <c:v>0.25</c:v>
                </c:pt>
                <c:pt idx="1">
                  <c:v>8.3333333333333329E-2</c:v>
                </c:pt>
              </c:numCache>
            </c:numRef>
          </c:val>
          <c:extLst>
            <c:ext xmlns:c16="http://schemas.microsoft.com/office/drawing/2014/chart" uri="{C3380CC4-5D6E-409C-BE32-E72D297353CC}">
              <c16:uniqueId val="{00000000-AEEB-4455-9C32-FA50E90053EE}"/>
            </c:ext>
          </c:extLst>
        </c:ser>
        <c:ser>
          <c:idx val="1"/>
          <c:order val="1"/>
          <c:tx>
            <c:strRef>
              <c:f>'C:\Users\daniel.peniket\Desktop\WRES WDES\2025\[NHS WRES Board Voting.xlsx]Sheet1'!$C$14</c:f>
              <c:strCache>
                <c:ptCount val="1"/>
                <c:pt idx="0">
                  <c:v>White</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[3]Sheet1!$A$15:$A$16</c:f>
              <c:strCache>
                <c:ptCount val="2"/>
                <c:pt idx="0">
                  <c:v>Total Board Members (Exec / Non Exec)</c:v>
                </c:pt>
                <c:pt idx="1">
                  <c:v>of which Voting Member</c:v>
                </c:pt>
              </c:strCache>
            </c:strRef>
          </c:cat>
          <c:val>
            <c:numRef>
              <c:f>[3]Sheet1!$C$15:$C$16</c:f>
              <c:numCache>
                <c:formatCode>General</c:formatCode>
                <c:ptCount val="2"/>
                <c:pt idx="0">
                  <c:v>0.75</c:v>
                </c:pt>
                <c:pt idx="1">
                  <c:v>0.91666666666666663</c:v>
                </c:pt>
              </c:numCache>
            </c:numRef>
          </c:val>
          <c:extLst>
            <c:ext xmlns:c16="http://schemas.microsoft.com/office/drawing/2014/chart" uri="{C3380CC4-5D6E-409C-BE32-E72D297353CC}">
              <c16:uniqueId val="{00000001-AEEB-4455-9C32-FA50E90053EE}"/>
            </c:ext>
          </c:extLst>
        </c:ser>
        <c:dLbls>
          <c:showLegendKey val="0"/>
          <c:showVal val="0"/>
          <c:showCatName val="0"/>
          <c:showSerName val="0"/>
          <c:showPercent val="0"/>
          <c:showBubbleSize val="0"/>
        </c:dLbls>
        <c:gapWidth val="50"/>
        <c:overlap val="100"/>
        <c:axId val="1175576591"/>
        <c:axId val="1175581391"/>
      </c:barChart>
      <c:catAx>
        <c:axId val="11755765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75581391"/>
        <c:crosses val="autoZero"/>
        <c:auto val="1"/>
        <c:lblAlgn val="ctr"/>
        <c:lblOffset val="100"/>
        <c:noMultiLvlLbl val="0"/>
      </c:catAx>
      <c:valAx>
        <c:axId val="1175581391"/>
        <c:scaling>
          <c:orientation val="minMax"/>
        </c:scaling>
        <c:delete val="1"/>
        <c:axPos val="t"/>
        <c:numFmt formatCode="0%" sourceLinked="1"/>
        <c:majorTickMark val="none"/>
        <c:minorTickMark val="none"/>
        <c:tickLblPos val="nextTo"/>
        <c:crossAx val="1175576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88F3D-5282-4A0D-9CCC-9AFD804E1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3299</Words>
  <Characters>18852</Characters>
  <Application>Microsoft Office Word</Application>
  <DocSecurity>8</DocSecurity>
  <Lines>725</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Race Equality Standard Annual Report 2025</dc:title>
  <dc:subject/>
  <dc:creator>RICHARDS, Sabrina (NHS BLACK COUNTRY ICB - D2P2L)</dc:creator>
  <cp:keywords/>
  <dc:description/>
  <cp:lastModifiedBy>MAHMOOD, Subtan (SANDWELL AND WEST BIRMINGHAM HOSPITALS NHS TRUST)</cp:lastModifiedBy>
  <cp:revision>3</cp:revision>
  <dcterms:created xsi:type="dcterms:W3CDTF">2025-10-28T11:51:00Z</dcterms:created>
  <dcterms:modified xsi:type="dcterms:W3CDTF">2025-10-29T10:33:00Z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68ee4ba8-dd22-4695-8b77-7766f35cbad1</vt:lpwstr>
  </property>
  <property fmtid="{D5CDD505-2E9C-101B-9397-08002B2CF9AE}" pid="3" name="_MarkAsFinal">
    <vt:bool>true</vt:bool>
  </property>
</Properties>
</file>