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C7F37" w14:textId="11F85FA9" w:rsidR="008519B6" w:rsidRPr="00F057FA" w:rsidRDefault="00B35BC1" w:rsidP="00486177">
      <w:pPr>
        <w:jc w:val="right"/>
      </w:pPr>
      <w:bookmarkStart w:id="0" w:name="_Toc198627452"/>
      <w:r>
        <w:t xml:space="preserve">                                                     </w:t>
      </w:r>
      <w:r>
        <w:rPr>
          <w:noProof/>
        </w:rPr>
        <w:drawing>
          <wp:inline distT="0" distB="0" distL="0" distR="0" wp14:anchorId="4E4AF449" wp14:editId="7B4CC16B">
            <wp:extent cx="2144565" cy="1203655"/>
            <wp:effectExtent l="0" t="0" r="8255" b="0"/>
            <wp:docPr id="68144535" name="Picture 1" descr="Sandwell and West Birmingham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4535" name="Picture 1" descr="Sandwell and West Birmingham NHS Trus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44565" cy="1203655"/>
                    </a:xfrm>
                    <a:prstGeom prst="rect">
                      <a:avLst/>
                    </a:prstGeom>
                    <a:noFill/>
                    <a:ln>
                      <a:noFill/>
                    </a:ln>
                  </pic:spPr>
                </pic:pic>
              </a:graphicData>
            </a:graphic>
          </wp:inline>
        </w:drawing>
      </w:r>
    </w:p>
    <w:p w14:paraId="628DEA19" w14:textId="77777777" w:rsidR="008519B6" w:rsidRPr="00F057FA" w:rsidRDefault="008519B6" w:rsidP="00486177"/>
    <w:p w14:paraId="4ACBC153" w14:textId="77777777" w:rsidR="00B35BC1" w:rsidRDefault="00B35BC1" w:rsidP="00486177"/>
    <w:p w14:paraId="5BE3821B" w14:textId="77777777" w:rsidR="00B35BC1" w:rsidRDefault="00B35BC1" w:rsidP="00486177"/>
    <w:p w14:paraId="0FB93443" w14:textId="77777777" w:rsidR="00B35BC1" w:rsidRDefault="00B35BC1" w:rsidP="00486177"/>
    <w:p w14:paraId="3133CD25" w14:textId="77777777" w:rsidR="00B35BC1" w:rsidRDefault="00B35BC1" w:rsidP="00486177"/>
    <w:p w14:paraId="7B624903" w14:textId="77777777" w:rsidR="00B35BC1" w:rsidRDefault="00B35BC1" w:rsidP="00486177"/>
    <w:p w14:paraId="5273E5B8" w14:textId="77777777" w:rsidR="00B35BC1" w:rsidRDefault="00B35BC1" w:rsidP="00486177"/>
    <w:p w14:paraId="23E7C20E" w14:textId="0497E68A" w:rsidR="008519B6" w:rsidRPr="00F057FA" w:rsidRDefault="008519B6" w:rsidP="00F057FA">
      <w:pPr>
        <w:pStyle w:val="Heading1"/>
        <w:spacing w:before="0" w:after="0" w:line="240" w:lineRule="auto"/>
        <w:rPr>
          <w:rFonts w:ascii="Aptos" w:hAnsi="Aptos"/>
        </w:rPr>
      </w:pPr>
      <w:r w:rsidRPr="00F057FA">
        <w:rPr>
          <w:rFonts w:ascii="Aptos" w:hAnsi="Aptos"/>
        </w:rPr>
        <w:t>Workforce Disability Equality Standard 2025</w:t>
      </w:r>
    </w:p>
    <w:p w14:paraId="2E03F111" w14:textId="77777777" w:rsidR="008519B6" w:rsidRPr="00F057FA" w:rsidRDefault="008519B6" w:rsidP="00486177"/>
    <w:p w14:paraId="11B7B32A" w14:textId="77777777" w:rsidR="008519B6" w:rsidRPr="00F057FA" w:rsidRDefault="008519B6" w:rsidP="00486177"/>
    <w:p w14:paraId="5745990E" w14:textId="77777777" w:rsidR="008519B6" w:rsidRPr="00F057FA" w:rsidRDefault="008519B6" w:rsidP="00486177"/>
    <w:p w14:paraId="3840C875" w14:textId="77777777" w:rsidR="008519B6" w:rsidRPr="00F057FA" w:rsidRDefault="008519B6" w:rsidP="00486177"/>
    <w:p w14:paraId="2D03F15A" w14:textId="77777777" w:rsidR="008519B6" w:rsidRPr="00F057FA" w:rsidRDefault="008519B6" w:rsidP="00486177"/>
    <w:p w14:paraId="68E3F9D3" w14:textId="77777777" w:rsidR="008519B6" w:rsidRPr="00F057FA" w:rsidRDefault="008519B6" w:rsidP="00486177"/>
    <w:p w14:paraId="07017465" w14:textId="77777777" w:rsidR="008519B6" w:rsidRPr="00F057FA" w:rsidRDefault="008519B6" w:rsidP="00486177"/>
    <w:p w14:paraId="34C794C7" w14:textId="77777777" w:rsidR="008519B6" w:rsidRPr="00F057FA" w:rsidRDefault="008519B6" w:rsidP="00486177"/>
    <w:p w14:paraId="0187F741" w14:textId="77777777" w:rsidR="008519B6" w:rsidRPr="00F057FA" w:rsidRDefault="008519B6" w:rsidP="00486177"/>
    <w:p w14:paraId="26A02E71" w14:textId="77777777" w:rsidR="008519B6" w:rsidRPr="00F057FA" w:rsidRDefault="008519B6" w:rsidP="00486177"/>
    <w:p w14:paraId="3FC80F85" w14:textId="77777777" w:rsidR="008519B6" w:rsidRPr="00F057FA" w:rsidRDefault="008519B6" w:rsidP="00486177"/>
    <w:p w14:paraId="49F7F48B" w14:textId="77777777" w:rsidR="008519B6" w:rsidRPr="00F057FA" w:rsidRDefault="008519B6" w:rsidP="00486177"/>
    <w:p w14:paraId="67E54D00" w14:textId="77777777" w:rsidR="00F057FA" w:rsidRDefault="00F057FA" w:rsidP="00486177"/>
    <w:p w14:paraId="2B0F4451" w14:textId="77777777" w:rsidR="00F057FA" w:rsidRDefault="00F057FA" w:rsidP="00486177"/>
    <w:p w14:paraId="76684C36" w14:textId="77777777" w:rsidR="00F057FA" w:rsidRDefault="00F057FA" w:rsidP="00486177"/>
    <w:p w14:paraId="22845C86" w14:textId="77777777" w:rsidR="00F057FA" w:rsidRDefault="00F057FA" w:rsidP="00486177"/>
    <w:p w14:paraId="247BA75D" w14:textId="27EBF78B" w:rsidR="008519B6" w:rsidRPr="00F057FA" w:rsidRDefault="008519B6" w:rsidP="00F057FA">
      <w:pPr>
        <w:pStyle w:val="Heading1"/>
        <w:spacing w:before="0" w:after="0" w:line="240" w:lineRule="auto"/>
        <w:rPr>
          <w:rFonts w:ascii="Aptos" w:hAnsi="Aptos"/>
        </w:rPr>
      </w:pPr>
      <w:r w:rsidRPr="00F057FA">
        <w:rPr>
          <w:rFonts w:ascii="Aptos" w:hAnsi="Aptos"/>
        </w:rPr>
        <w:lastRenderedPageBreak/>
        <w:t>Definitions</w:t>
      </w:r>
      <w:bookmarkEnd w:id="0"/>
    </w:p>
    <w:p w14:paraId="36D069C3" w14:textId="77777777" w:rsidR="008519B6" w:rsidRPr="00F057FA" w:rsidRDefault="008519B6" w:rsidP="00F057FA">
      <w:pPr>
        <w:pStyle w:val="ListParagraph"/>
        <w:numPr>
          <w:ilvl w:val="0"/>
          <w:numId w:val="13"/>
        </w:numPr>
        <w:spacing w:after="0" w:line="240" w:lineRule="auto"/>
        <w:rPr>
          <w:rFonts w:ascii="Aptos" w:hAnsi="Aptos"/>
        </w:rPr>
      </w:pPr>
      <w:r w:rsidRPr="00F057FA">
        <w:rPr>
          <w:rFonts w:ascii="Aptos" w:hAnsi="Aptos"/>
        </w:rPr>
        <w:t>NHS – National Health Service</w:t>
      </w:r>
    </w:p>
    <w:p w14:paraId="7476228C" w14:textId="77777777" w:rsidR="008519B6" w:rsidRPr="00F057FA" w:rsidRDefault="008519B6" w:rsidP="00F057FA">
      <w:pPr>
        <w:pStyle w:val="ListParagraph"/>
        <w:numPr>
          <w:ilvl w:val="0"/>
          <w:numId w:val="13"/>
        </w:numPr>
        <w:spacing w:after="0" w:line="240" w:lineRule="auto"/>
        <w:rPr>
          <w:rFonts w:ascii="Aptos" w:hAnsi="Aptos"/>
        </w:rPr>
      </w:pPr>
      <w:r w:rsidRPr="00F057FA">
        <w:rPr>
          <w:rFonts w:ascii="Aptos" w:hAnsi="Aptos"/>
        </w:rPr>
        <w:t>AfC – Agenda for Change</w:t>
      </w:r>
    </w:p>
    <w:p w14:paraId="7318445A" w14:textId="77777777" w:rsidR="008519B6" w:rsidRPr="00F057FA" w:rsidRDefault="008519B6" w:rsidP="00F057FA">
      <w:pPr>
        <w:pStyle w:val="ListParagraph"/>
        <w:numPr>
          <w:ilvl w:val="0"/>
          <w:numId w:val="13"/>
        </w:numPr>
        <w:spacing w:after="0" w:line="240" w:lineRule="auto"/>
        <w:rPr>
          <w:rFonts w:ascii="Aptos" w:hAnsi="Aptos"/>
        </w:rPr>
      </w:pPr>
      <w:r w:rsidRPr="00F057FA">
        <w:rPr>
          <w:rFonts w:ascii="Aptos" w:hAnsi="Aptos"/>
        </w:rPr>
        <w:t>LTC – Long-term condition</w:t>
      </w:r>
    </w:p>
    <w:p w14:paraId="05031554" w14:textId="77777777" w:rsidR="008519B6" w:rsidRPr="00F057FA" w:rsidRDefault="008519B6" w:rsidP="00F057FA">
      <w:pPr>
        <w:pStyle w:val="ListParagraph"/>
        <w:numPr>
          <w:ilvl w:val="0"/>
          <w:numId w:val="13"/>
        </w:numPr>
        <w:spacing w:after="0" w:line="240" w:lineRule="auto"/>
        <w:rPr>
          <w:rFonts w:ascii="Aptos" w:hAnsi="Aptos"/>
        </w:rPr>
      </w:pPr>
      <w:r w:rsidRPr="00F057FA">
        <w:rPr>
          <w:rFonts w:ascii="Aptos" w:hAnsi="Aptos"/>
        </w:rPr>
        <w:t>WDES – Workforce Disability Equality Standard</w:t>
      </w:r>
    </w:p>
    <w:p w14:paraId="4DB10418" w14:textId="77777777" w:rsidR="00F057FA" w:rsidRDefault="00F057FA" w:rsidP="00486177">
      <w:bookmarkStart w:id="1" w:name="_Toc198627453"/>
    </w:p>
    <w:p w14:paraId="6255E8E4" w14:textId="4ADE5007" w:rsidR="008519B6" w:rsidRPr="00F057FA" w:rsidRDefault="008519B6" w:rsidP="00F057FA">
      <w:pPr>
        <w:pStyle w:val="Heading1"/>
        <w:spacing w:before="0" w:after="0" w:line="240" w:lineRule="auto"/>
        <w:rPr>
          <w:rFonts w:ascii="Aptos" w:hAnsi="Aptos"/>
        </w:rPr>
      </w:pPr>
      <w:r w:rsidRPr="00F057FA">
        <w:rPr>
          <w:rFonts w:ascii="Aptos" w:hAnsi="Aptos"/>
        </w:rPr>
        <w:t>Introduction</w:t>
      </w:r>
      <w:bookmarkEnd w:id="1"/>
    </w:p>
    <w:p w14:paraId="689A4145" w14:textId="77777777" w:rsidR="008519B6" w:rsidRDefault="008519B6" w:rsidP="00F057FA">
      <w:pPr>
        <w:pStyle w:val="NormalWeb"/>
        <w:spacing w:before="0" w:beforeAutospacing="0" w:after="0" w:afterAutospacing="0"/>
        <w:rPr>
          <w:rStyle w:val="Strong"/>
          <w:rFonts w:ascii="Aptos" w:eastAsiaTheme="majorEastAsia" w:hAnsi="Aptos" w:cs="Arial"/>
        </w:rPr>
      </w:pPr>
      <w:r w:rsidRPr="00F057FA">
        <w:rPr>
          <w:rStyle w:val="Strong"/>
          <w:rFonts w:ascii="Aptos" w:eastAsiaTheme="majorEastAsia" w:hAnsi="Aptos" w:cs="Arial"/>
        </w:rPr>
        <w:t>Workforce Disability Equality Standard (WDES) Overview</w:t>
      </w:r>
    </w:p>
    <w:p w14:paraId="0D200BD0" w14:textId="77777777" w:rsidR="00F057FA" w:rsidRPr="00F057FA" w:rsidRDefault="00F057FA" w:rsidP="00F057FA">
      <w:pPr>
        <w:pStyle w:val="NormalWeb"/>
        <w:spacing w:before="0" w:beforeAutospacing="0" w:after="0" w:afterAutospacing="0"/>
        <w:rPr>
          <w:rFonts w:ascii="Aptos" w:hAnsi="Aptos" w:cs="Arial"/>
        </w:rPr>
      </w:pPr>
    </w:p>
    <w:p w14:paraId="00C6D448" w14:textId="77777777" w:rsidR="008519B6" w:rsidRDefault="008519B6" w:rsidP="00F057FA">
      <w:pPr>
        <w:pStyle w:val="NormalWeb"/>
        <w:spacing w:before="0" w:beforeAutospacing="0" w:after="0" w:afterAutospacing="0"/>
        <w:rPr>
          <w:rFonts w:ascii="Aptos" w:hAnsi="Aptos" w:cs="Arial"/>
        </w:rPr>
      </w:pPr>
      <w:r w:rsidRPr="00F057FA">
        <w:rPr>
          <w:rFonts w:ascii="Aptos" w:hAnsi="Aptos" w:cs="Arial"/>
        </w:rPr>
        <w:t>Launched in 2019, the Workforce Disability Equality Standard (WDES) aims to improve workplace experiences and career opportunities for staff with disabilities across the NHS.</w:t>
      </w:r>
    </w:p>
    <w:p w14:paraId="0AB2AD10" w14:textId="77777777" w:rsidR="00F057FA" w:rsidRPr="00F057FA" w:rsidRDefault="00F057FA" w:rsidP="00F057FA">
      <w:pPr>
        <w:pStyle w:val="NormalWeb"/>
        <w:spacing w:before="0" w:beforeAutospacing="0" w:after="0" w:afterAutospacing="0"/>
        <w:rPr>
          <w:rFonts w:ascii="Aptos" w:hAnsi="Aptos" w:cs="Arial"/>
        </w:rPr>
      </w:pPr>
    </w:p>
    <w:p w14:paraId="66CA7AF6" w14:textId="77777777" w:rsidR="008519B6" w:rsidRPr="00F057FA" w:rsidRDefault="008519B6" w:rsidP="00F057FA">
      <w:pPr>
        <w:pStyle w:val="NormalWeb"/>
        <w:spacing w:before="0" w:beforeAutospacing="0" w:after="0" w:afterAutospacing="0"/>
        <w:rPr>
          <w:rFonts w:ascii="Aptos" w:hAnsi="Aptos" w:cs="Arial"/>
        </w:rPr>
      </w:pPr>
      <w:r w:rsidRPr="00F057FA">
        <w:rPr>
          <w:rFonts w:ascii="Aptos" w:hAnsi="Aptos" w:cs="Arial"/>
        </w:rPr>
        <w:t>The WDES consists of ten specific measures (metrics) that enable Trusts to compare the experiences of disabled and non-disabled staff. These comparisons inform action plans and allow organisations to track progress in advancing disability equality.</w:t>
      </w:r>
    </w:p>
    <w:p w14:paraId="2769C576" w14:textId="77777777" w:rsidR="00F057FA" w:rsidRDefault="00F057FA" w:rsidP="00F057FA">
      <w:pPr>
        <w:pStyle w:val="NormalWeb"/>
        <w:spacing w:before="0" w:beforeAutospacing="0" w:after="0" w:afterAutospacing="0"/>
        <w:rPr>
          <w:rFonts w:ascii="Aptos" w:hAnsi="Aptos" w:cs="Arial"/>
        </w:rPr>
      </w:pPr>
    </w:p>
    <w:p w14:paraId="00DC210A" w14:textId="0B787694" w:rsidR="008519B6" w:rsidRPr="00F057FA" w:rsidRDefault="008519B6" w:rsidP="00F057FA">
      <w:pPr>
        <w:pStyle w:val="NormalWeb"/>
        <w:spacing w:before="0" w:beforeAutospacing="0" w:after="0" w:afterAutospacing="0"/>
        <w:rPr>
          <w:rFonts w:ascii="Aptos" w:hAnsi="Aptos" w:cs="Arial"/>
        </w:rPr>
      </w:pPr>
      <w:r w:rsidRPr="00F057FA">
        <w:rPr>
          <w:rFonts w:ascii="Aptos" w:hAnsi="Aptos" w:cs="Arial"/>
        </w:rPr>
        <w:t>Commissioned by the Equality and Diversity Council and mandated through the NHS Standard Contract, the WDES provides a framework for meaningful change.</w:t>
      </w:r>
    </w:p>
    <w:p w14:paraId="17EC2A44" w14:textId="02ABF1A1" w:rsidR="008519B6" w:rsidRDefault="008519B6" w:rsidP="00F057FA">
      <w:pPr>
        <w:pStyle w:val="NormalWeb"/>
        <w:spacing w:before="0" w:beforeAutospacing="0" w:after="0" w:afterAutospacing="0"/>
        <w:rPr>
          <w:rFonts w:ascii="Aptos" w:hAnsi="Aptos" w:cs="Arial"/>
        </w:rPr>
      </w:pPr>
      <w:r w:rsidRPr="00F057FA">
        <w:rPr>
          <w:rFonts w:ascii="Aptos" w:hAnsi="Aptos" w:cs="Arial"/>
        </w:rPr>
        <w:t xml:space="preserve">Metrics 2 and 3 are calculated using a “times more likely” formula, which assesses disparities between disabled and non-disabled staff. Metrics 5, 6, 7, 8, and 9a are based on data from the NHS Staff Survey. </w:t>
      </w:r>
      <w:r w:rsidRPr="003121DF">
        <w:rPr>
          <w:rFonts w:ascii="Aptos" w:hAnsi="Aptos" w:cs="Arial"/>
        </w:rPr>
        <w:t xml:space="preserve">Our Trust conducted a full staff </w:t>
      </w:r>
      <w:r w:rsidR="00EB0501" w:rsidRPr="003121DF">
        <w:rPr>
          <w:rFonts w:ascii="Aptos" w:hAnsi="Aptos" w:cs="Arial"/>
        </w:rPr>
        <w:t xml:space="preserve">survey </w:t>
      </w:r>
      <w:r w:rsidRPr="003121DF">
        <w:rPr>
          <w:rFonts w:ascii="Aptos" w:hAnsi="Aptos" w:cs="Arial"/>
        </w:rPr>
        <w:t xml:space="preserve">in 2024, with a </w:t>
      </w:r>
      <w:r w:rsidR="009956E1" w:rsidRPr="003121DF">
        <w:rPr>
          <w:rFonts w:ascii="Aptos" w:hAnsi="Aptos" w:cs="Arial"/>
        </w:rPr>
        <w:t xml:space="preserve">34% </w:t>
      </w:r>
      <w:r w:rsidRPr="003121DF">
        <w:rPr>
          <w:rFonts w:ascii="Aptos" w:hAnsi="Aptos" w:cs="Arial"/>
        </w:rPr>
        <w:t>participation rate.</w:t>
      </w:r>
    </w:p>
    <w:p w14:paraId="11FBFF29" w14:textId="77777777" w:rsidR="00F057FA" w:rsidRPr="00F057FA" w:rsidRDefault="00F057FA" w:rsidP="00F057FA">
      <w:pPr>
        <w:pStyle w:val="NormalWeb"/>
        <w:spacing w:before="0" w:beforeAutospacing="0" w:after="0" w:afterAutospacing="0"/>
        <w:rPr>
          <w:rFonts w:ascii="Aptos" w:hAnsi="Aptos" w:cs="Arial"/>
        </w:rPr>
      </w:pPr>
    </w:p>
    <w:p w14:paraId="5A1E3DEE" w14:textId="224DBF9E" w:rsidR="008519B6" w:rsidRDefault="008519B6" w:rsidP="00F057FA">
      <w:pPr>
        <w:pStyle w:val="NormalWeb"/>
        <w:spacing w:before="0" w:beforeAutospacing="0" w:after="0" w:afterAutospacing="0"/>
        <w:rPr>
          <w:rFonts w:ascii="Aptos" w:hAnsi="Aptos" w:cs="Arial"/>
        </w:rPr>
      </w:pPr>
      <w:r w:rsidRPr="00F057FA">
        <w:rPr>
          <w:rFonts w:ascii="Aptos" w:hAnsi="Aptos" w:cs="Arial"/>
        </w:rPr>
        <w:t>A key challenge in disability monitoring across the NHS is the inconsistency in how disability is defined. The definitions used in the NHS Electronic Staff Record (ESR), NHS Staff Survey, and NHS Jobs differ from one another, and the legal definition outlined in the Equality Act 2010. Efforts are ongoing to align these definitions and introduce a unified, system-wide disability question.</w:t>
      </w:r>
    </w:p>
    <w:p w14:paraId="3ABF8737" w14:textId="77777777" w:rsidR="00F057FA" w:rsidRPr="00F057FA" w:rsidRDefault="00F057FA" w:rsidP="00F057FA">
      <w:pPr>
        <w:pStyle w:val="NormalWeb"/>
        <w:spacing w:before="0" w:beforeAutospacing="0" w:after="0" w:afterAutospacing="0"/>
        <w:rPr>
          <w:rFonts w:ascii="Aptos" w:hAnsi="Aptos" w:cs="Arial"/>
        </w:rPr>
      </w:pPr>
    </w:p>
    <w:p w14:paraId="553AC6E3" w14:textId="1EBB23F4" w:rsidR="008519B6" w:rsidRDefault="008519B6" w:rsidP="00F057FA">
      <w:pPr>
        <w:pStyle w:val="NormalWeb"/>
        <w:spacing w:before="0" w:beforeAutospacing="0" w:after="0" w:afterAutospacing="0"/>
        <w:rPr>
          <w:rFonts w:ascii="Aptos" w:hAnsi="Aptos" w:cs="Arial"/>
        </w:rPr>
      </w:pPr>
      <w:r w:rsidRPr="00F057FA">
        <w:rPr>
          <w:rFonts w:ascii="Aptos" w:hAnsi="Aptos" w:cs="Arial"/>
        </w:rPr>
        <w:t xml:space="preserve">At Sandwell and West Birmingham NHS Trust, we employ around 7437 staff. According to ESR data, </w:t>
      </w:r>
      <w:r w:rsidR="00BD010B" w:rsidRPr="00F057FA">
        <w:rPr>
          <w:rFonts w:ascii="Aptos" w:hAnsi="Aptos" w:cs="Arial"/>
        </w:rPr>
        <w:t>4.8% of staff have</w:t>
      </w:r>
      <w:r w:rsidRPr="00F057FA">
        <w:rPr>
          <w:rFonts w:ascii="Aptos" w:hAnsi="Aptos" w:cs="Arial"/>
        </w:rPr>
        <w:t xml:space="preserve"> declared a disability. However, </w:t>
      </w:r>
      <w:r w:rsidR="00BD010B" w:rsidRPr="00F057FA">
        <w:rPr>
          <w:rFonts w:ascii="Aptos" w:hAnsi="Aptos" w:cs="Arial"/>
        </w:rPr>
        <w:t>18%</w:t>
      </w:r>
      <w:r w:rsidRPr="00F057FA">
        <w:rPr>
          <w:rFonts w:ascii="Aptos" w:hAnsi="Aptos" w:cs="Arial"/>
        </w:rPr>
        <w:t xml:space="preserve"> staff have not disclosed their disability status. In contrast, the 2024 Staff Survey </w:t>
      </w:r>
      <w:r w:rsidRPr="00CF0853">
        <w:rPr>
          <w:rFonts w:ascii="Aptos" w:hAnsi="Aptos" w:cs="Arial"/>
        </w:rPr>
        <w:t xml:space="preserve">indicates </w:t>
      </w:r>
      <w:r w:rsidRPr="003121DF">
        <w:rPr>
          <w:rFonts w:ascii="Aptos" w:hAnsi="Aptos" w:cs="Arial"/>
        </w:rPr>
        <w:t xml:space="preserve">that </w:t>
      </w:r>
      <w:r w:rsidR="00F057FA" w:rsidRPr="003121DF">
        <w:rPr>
          <w:rFonts w:ascii="Aptos" w:hAnsi="Aptos" w:cs="Arial"/>
        </w:rPr>
        <w:t xml:space="preserve">23.33%  </w:t>
      </w:r>
      <w:r w:rsidRPr="003121DF">
        <w:rPr>
          <w:rFonts w:ascii="Aptos" w:hAnsi="Aptos" w:cs="Arial"/>
        </w:rPr>
        <w:t>of</w:t>
      </w:r>
      <w:r w:rsidRPr="00CF0853">
        <w:rPr>
          <w:rFonts w:ascii="Aptos" w:hAnsi="Aptos" w:cs="Arial"/>
        </w:rPr>
        <w:t xml:space="preserve"> respo</w:t>
      </w:r>
      <w:r w:rsidRPr="00F057FA">
        <w:rPr>
          <w:rFonts w:ascii="Aptos" w:hAnsi="Aptos" w:cs="Arial"/>
        </w:rPr>
        <w:t xml:space="preserve">ndents identify as having a disability or long-term condition—an increase of </w:t>
      </w:r>
      <w:r w:rsidR="00F057FA">
        <w:rPr>
          <w:rFonts w:ascii="Aptos" w:hAnsi="Aptos" w:cs="Arial"/>
        </w:rPr>
        <w:t>0.69%</w:t>
      </w:r>
      <w:r w:rsidR="00F057FA" w:rsidRPr="00F057FA">
        <w:rPr>
          <w:rFonts w:ascii="Aptos" w:hAnsi="Aptos" w:cs="Arial"/>
        </w:rPr>
        <w:t xml:space="preserve"> </w:t>
      </w:r>
      <w:r w:rsidRPr="00F057FA">
        <w:rPr>
          <w:rFonts w:ascii="Aptos" w:hAnsi="Aptos" w:cs="Arial"/>
        </w:rPr>
        <w:t>from 2023. This discrepancy highlights the limitations of ESR data and the need to encourage staff to update their records. This is a national challenge, not unique to our Trust.</w:t>
      </w:r>
    </w:p>
    <w:p w14:paraId="2076912D" w14:textId="77777777" w:rsidR="000F53A3" w:rsidRPr="00F057FA" w:rsidRDefault="000F53A3" w:rsidP="00F057FA">
      <w:pPr>
        <w:pStyle w:val="NormalWeb"/>
        <w:spacing w:before="0" w:beforeAutospacing="0" w:after="0" w:afterAutospacing="0"/>
        <w:rPr>
          <w:rFonts w:ascii="Aptos" w:hAnsi="Aptos" w:cs="Arial"/>
        </w:rPr>
      </w:pPr>
    </w:p>
    <w:p w14:paraId="6A7FEC40" w14:textId="5BCD1430" w:rsidR="008519B6" w:rsidRDefault="008519B6" w:rsidP="00F057FA">
      <w:pPr>
        <w:pStyle w:val="NormalWeb"/>
        <w:spacing w:before="0" w:beforeAutospacing="0" w:after="0" w:afterAutospacing="0"/>
        <w:rPr>
          <w:rFonts w:ascii="Aptos" w:hAnsi="Aptos" w:cs="Arial"/>
        </w:rPr>
      </w:pPr>
      <w:r w:rsidRPr="00F057FA">
        <w:rPr>
          <w:rFonts w:ascii="Aptos" w:hAnsi="Aptos" w:cs="Arial"/>
        </w:rPr>
        <w:t>This report highlights key focus areas and provides direction for targeted actions. It has been instrumental in guiding development efforts in previous years.</w:t>
      </w:r>
    </w:p>
    <w:p w14:paraId="14CB46A1" w14:textId="77777777" w:rsidR="000F53A3" w:rsidRDefault="000F53A3" w:rsidP="00F057FA">
      <w:pPr>
        <w:pStyle w:val="NormalWeb"/>
        <w:spacing w:before="0" w:beforeAutospacing="0" w:after="0" w:afterAutospacing="0"/>
        <w:rPr>
          <w:rFonts w:ascii="Aptos" w:hAnsi="Aptos" w:cs="Arial"/>
        </w:rPr>
      </w:pPr>
    </w:p>
    <w:p w14:paraId="3AE990D4" w14:textId="77777777" w:rsidR="000F53A3" w:rsidRDefault="000F53A3" w:rsidP="00F057FA">
      <w:pPr>
        <w:pStyle w:val="NormalWeb"/>
        <w:spacing w:before="0" w:beforeAutospacing="0" w:after="0" w:afterAutospacing="0"/>
        <w:rPr>
          <w:rFonts w:ascii="Aptos" w:hAnsi="Aptos" w:cs="Arial"/>
        </w:rPr>
      </w:pPr>
    </w:p>
    <w:p w14:paraId="579CAD0B" w14:textId="77777777" w:rsidR="000F53A3" w:rsidRDefault="000F53A3" w:rsidP="00F057FA">
      <w:pPr>
        <w:pStyle w:val="NormalWeb"/>
        <w:spacing w:before="0" w:beforeAutospacing="0" w:after="0" w:afterAutospacing="0"/>
        <w:rPr>
          <w:rFonts w:ascii="Aptos" w:hAnsi="Aptos" w:cs="Arial"/>
        </w:rPr>
      </w:pPr>
    </w:p>
    <w:p w14:paraId="7099D282" w14:textId="77777777" w:rsidR="000F53A3" w:rsidRDefault="000F53A3" w:rsidP="00F057FA">
      <w:pPr>
        <w:pStyle w:val="NormalWeb"/>
        <w:spacing w:before="0" w:beforeAutospacing="0" w:after="0" w:afterAutospacing="0"/>
        <w:rPr>
          <w:rFonts w:ascii="Aptos" w:hAnsi="Aptos" w:cs="Arial"/>
        </w:rPr>
      </w:pPr>
    </w:p>
    <w:p w14:paraId="7B130163" w14:textId="77777777" w:rsidR="000F53A3" w:rsidRPr="00F057FA" w:rsidRDefault="000F53A3" w:rsidP="00F057FA">
      <w:pPr>
        <w:pStyle w:val="NormalWeb"/>
        <w:spacing w:before="0" w:beforeAutospacing="0" w:after="0" w:afterAutospacing="0"/>
        <w:rPr>
          <w:rFonts w:ascii="Aptos" w:hAnsi="Aptos"/>
        </w:rPr>
      </w:pPr>
    </w:p>
    <w:p w14:paraId="359125CB" w14:textId="77777777" w:rsidR="008519B6" w:rsidRPr="00F057FA" w:rsidRDefault="008519B6" w:rsidP="00F057FA">
      <w:pPr>
        <w:pStyle w:val="Heading1"/>
        <w:spacing w:before="0" w:after="0" w:line="240" w:lineRule="auto"/>
        <w:rPr>
          <w:rFonts w:ascii="Aptos" w:hAnsi="Aptos"/>
        </w:rPr>
      </w:pPr>
      <w:bookmarkStart w:id="2" w:name="_Toc198627454"/>
      <w:r w:rsidRPr="00F057FA">
        <w:rPr>
          <w:rFonts w:ascii="Aptos" w:hAnsi="Aptos"/>
        </w:rPr>
        <w:lastRenderedPageBreak/>
        <w:t>Executive Summary</w:t>
      </w:r>
      <w:bookmarkEnd w:id="2"/>
    </w:p>
    <w:p w14:paraId="6168C70D" w14:textId="4ACC7C98" w:rsidR="008519B6" w:rsidRDefault="008519B6" w:rsidP="00F057FA">
      <w:pPr>
        <w:pStyle w:val="NormalWeb"/>
        <w:spacing w:before="0" w:beforeAutospacing="0" w:after="0" w:afterAutospacing="0"/>
        <w:rPr>
          <w:rStyle w:val="Strong"/>
          <w:rFonts w:ascii="Aptos" w:eastAsiaTheme="majorEastAsia" w:hAnsi="Aptos" w:cs="Arial"/>
        </w:rPr>
      </w:pPr>
      <w:r w:rsidRPr="00F057FA">
        <w:rPr>
          <w:rStyle w:val="Strong"/>
          <w:rFonts w:ascii="Aptos" w:eastAsiaTheme="majorEastAsia" w:hAnsi="Aptos" w:cs="Arial"/>
          <w:b w:val="0"/>
          <w:bCs w:val="0"/>
        </w:rPr>
        <w:t>At Sandwell and West Birmingham NHS Trust, we are dedicated to creating an inclusive and supportive environment where all staff – including those with disabilities or long-term conditions – feel valued, empowered, and able to thrive. This commitment is fundamental to delivering high-quality patient care and developing a resilient, innovative workforce</w:t>
      </w:r>
      <w:r w:rsidRPr="00F057FA">
        <w:rPr>
          <w:rStyle w:val="Strong"/>
          <w:rFonts w:ascii="Aptos" w:eastAsiaTheme="majorEastAsia" w:hAnsi="Aptos" w:cs="Arial"/>
        </w:rPr>
        <w:t>.</w:t>
      </w:r>
    </w:p>
    <w:p w14:paraId="1AA1DCDC" w14:textId="77777777" w:rsidR="000F53A3" w:rsidRDefault="000F53A3" w:rsidP="00F057FA">
      <w:pPr>
        <w:pStyle w:val="NormalWeb"/>
        <w:spacing w:before="0" w:beforeAutospacing="0" w:after="0" w:afterAutospacing="0"/>
        <w:rPr>
          <w:rStyle w:val="Strong"/>
          <w:rFonts w:ascii="Aptos" w:eastAsiaTheme="majorEastAsia" w:hAnsi="Aptos" w:cs="Arial"/>
        </w:rPr>
      </w:pPr>
    </w:p>
    <w:p w14:paraId="0448020C" w14:textId="48A957A8" w:rsidR="00CF0853" w:rsidRDefault="00CF0853" w:rsidP="000F53A3">
      <w:pPr>
        <w:spacing w:after="0" w:line="240" w:lineRule="auto"/>
        <w:rPr>
          <w:rFonts w:asciiTheme="majorHAnsi" w:hAnsiTheme="majorHAnsi" w:cstheme="majorHAnsi"/>
        </w:rPr>
      </w:pPr>
      <w:r>
        <w:t>Equality, Diversity, and Inclusion (EDI) are central to our “With You All the Way” staff experience and culture transformation journey. Our Trust EDI Plan aligns with key initiatives outlined in the People Plan, focusing on how EDI influences both culture and staff experience. In addition to these core programmes, the plan includes targeted actions to ensure we meet our EDI responsibilities, tackle persistent underrepresentation in our workforce, and lay the groundwork for building a more diverse and inclusive organisation.</w:t>
      </w:r>
    </w:p>
    <w:p w14:paraId="75BD5932" w14:textId="77777777" w:rsidR="00CF0853" w:rsidRDefault="00CF0853" w:rsidP="000F53A3">
      <w:pPr>
        <w:spacing w:after="0" w:line="240" w:lineRule="auto"/>
        <w:rPr>
          <w:rFonts w:asciiTheme="majorHAnsi" w:hAnsiTheme="majorHAnsi" w:cstheme="majorHAnsi"/>
        </w:rPr>
      </w:pPr>
    </w:p>
    <w:p w14:paraId="03CB4500" w14:textId="77777777" w:rsidR="000F53A3" w:rsidRPr="004F3012" w:rsidRDefault="000F53A3" w:rsidP="000F53A3">
      <w:pPr>
        <w:spacing w:after="0" w:line="240" w:lineRule="auto"/>
        <w:rPr>
          <w:rFonts w:asciiTheme="majorHAnsi" w:hAnsiTheme="majorHAnsi" w:cstheme="majorHAnsi"/>
        </w:rPr>
      </w:pPr>
    </w:p>
    <w:p w14:paraId="2822B245" w14:textId="77777777" w:rsidR="000F53A3" w:rsidRPr="004F3012" w:rsidRDefault="000F53A3" w:rsidP="000F53A3">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53575DA2" wp14:editId="45393B80">
            <wp:extent cx="4114800" cy="2279411"/>
            <wp:effectExtent l="0" t="0" r="0" b="6985"/>
            <wp:docPr id="394545054" name="Picture 2" descr="A four-part diagram showing leadership, compassion, inclusion, and staff experience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5054" name="Picture 2" descr="A four-part diagram showing leadership, compassion, inclusion, and staff experience working toget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341" cy="2293559"/>
                    </a:xfrm>
                    <a:prstGeom prst="rect">
                      <a:avLst/>
                    </a:prstGeom>
                    <a:noFill/>
                  </pic:spPr>
                </pic:pic>
              </a:graphicData>
            </a:graphic>
          </wp:inline>
        </w:drawing>
      </w:r>
    </w:p>
    <w:p w14:paraId="561DCD6B" w14:textId="77777777" w:rsidR="000F53A3" w:rsidRPr="001C1754" w:rsidRDefault="000F53A3" w:rsidP="000F53A3">
      <w:pPr>
        <w:pStyle w:val="NormalWeb"/>
        <w:spacing w:before="0" w:beforeAutospacing="0" w:after="0" w:afterAutospacing="0"/>
        <w:rPr>
          <w:rFonts w:ascii="Aptos" w:hAnsi="Aptos" w:cs="Arial"/>
        </w:rPr>
      </w:pPr>
    </w:p>
    <w:p w14:paraId="505E5F3B" w14:textId="40C5A407" w:rsidR="000F53A3" w:rsidRPr="003121DF" w:rsidRDefault="000F53A3" w:rsidP="000F53A3">
      <w:pPr>
        <w:pStyle w:val="NormalWeb"/>
        <w:spacing w:before="0" w:beforeAutospacing="0" w:after="0" w:afterAutospacing="0"/>
        <w:rPr>
          <w:rFonts w:ascii="Aptos" w:hAnsi="Aptos" w:cs="Arial"/>
          <w:u w:val="single"/>
        </w:rPr>
      </w:pPr>
      <w:r w:rsidRPr="003121DF">
        <w:rPr>
          <w:rFonts w:ascii="Aptos" w:hAnsi="Aptos" w:cs="Arial"/>
          <w:u w:val="single"/>
        </w:rPr>
        <w:t xml:space="preserve">Fig 1: Our SWB </w:t>
      </w:r>
      <w:r w:rsidRPr="00B35BC1">
        <w:rPr>
          <w:rFonts w:ascii="Aptos" w:hAnsi="Aptos" w:cs="Arial"/>
          <w:color w:val="0E2841" w:themeColor="text2"/>
          <w:u w:val="single"/>
        </w:rPr>
        <w:t>EDI Plan</w:t>
      </w:r>
    </w:p>
    <w:p w14:paraId="4F7840B6" w14:textId="77777777" w:rsidR="000F53A3" w:rsidRDefault="000F53A3" w:rsidP="000F53A3">
      <w:pPr>
        <w:pStyle w:val="NormalWeb"/>
        <w:spacing w:before="0" w:beforeAutospacing="0" w:after="0" w:afterAutospacing="0"/>
        <w:rPr>
          <w:rFonts w:ascii="Aptos" w:hAnsi="Aptos" w:cs="Arial"/>
        </w:rPr>
      </w:pPr>
    </w:p>
    <w:p w14:paraId="239DEDE0" w14:textId="77777777" w:rsidR="000F53A3" w:rsidRPr="00F057FA" w:rsidRDefault="000F53A3" w:rsidP="00F057FA">
      <w:pPr>
        <w:pStyle w:val="NormalWeb"/>
        <w:spacing w:before="0" w:beforeAutospacing="0" w:after="0" w:afterAutospacing="0"/>
        <w:rPr>
          <w:rFonts w:ascii="Aptos" w:hAnsi="Aptos" w:cs="Arial"/>
        </w:rPr>
      </w:pPr>
    </w:p>
    <w:p w14:paraId="0BA919F7" w14:textId="24D04FBF" w:rsidR="008519B6" w:rsidRDefault="008519B6" w:rsidP="00F057FA">
      <w:pPr>
        <w:pStyle w:val="NormalWeb"/>
        <w:spacing w:before="0" w:beforeAutospacing="0" w:after="0" w:afterAutospacing="0"/>
        <w:rPr>
          <w:rFonts w:ascii="Aptos" w:hAnsi="Aptos" w:cs="Arial"/>
        </w:rPr>
      </w:pPr>
      <w:r w:rsidRPr="00F057FA">
        <w:rPr>
          <w:rFonts w:ascii="Aptos" w:hAnsi="Aptos" w:cs="Arial"/>
        </w:rPr>
        <w:t xml:space="preserve">The </w:t>
      </w:r>
      <w:r w:rsidRPr="00F057FA">
        <w:rPr>
          <w:rStyle w:val="Strong"/>
          <w:rFonts w:ascii="Aptos" w:eastAsiaTheme="majorEastAsia" w:hAnsi="Aptos" w:cs="Arial"/>
        </w:rPr>
        <w:t>2025 Workforce Disability Equality Standard (WDES)</w:t>
      </w:r>
      <w:r w:rsidRPr="00F057FA">
        <w:rPr>
          <w:rFonts w:ascii="Aptos" w:hAnsi="Aptos" w:cs="Arial"/>
        </w:rPr>
        <w:t xml:space="preserve"> results highlight both encouraging progress and areas where continued focus is essential. We have made strides in increasing disability declaration rates, </w:t>
      </w:r>
      <w:r w:rsidR="005F57A2" w:rsidRPr="00F057FA">
        <w:rPr>
          <w:rFonts w:ascii="Aptos" w:hAnsi="Aptos" w:cs="Arial"/>
        </w:rPr>
        <w:t xml:space="preserve"> improving staff experience </w:t>
      </w:r>
      <w:r w:rsidR="007E6375" w:rsidRPr="00F057FA">
        <w:rPr>
          <w:rFonts w:ascii="Aptos" w:hAnsi="Aptos" w:cs="Arial"/>
        </w:rPr>
        <w:t>with</w:t>
      </w:r>
      <w:r w:rsidR="005F57A2" w:rsidRPr="00F057FA">
        <w:rPr>
          <w:rFonts w:ascii="Aptos" w:hAnsi="Aptos" w:cs="Arial"/>
        </w:rPr>
        <w:t xml:space="preserve"> career progression and promotion opportunities and engagement scores</w:t>
      </w:r>
      <w:r w:rsidR="007E6375" w:rsidRPr="00F057FA">
        <w:rPr>
          <w:rFonts w:ascii="Aptos" w:hAnsi="Aptos" w:cs="Arial"/>
        </w:rPr>
        <w:t>,</w:t>
      </w:r>
      <w:r w:rsidR="005F57A2" w:rsidRPr="00F057FA">
        <w:rPr>
          <w:rFonts w:ascii="Aptos" w:hAnsi="Aptos" w:cs="Arial"/>
        </w:rPr>
        <w:t xml:space="preserve"> </w:t>
      </w:r>
      <w:r w:rsidRPr="00F057FA">
        <w:rPr>
          <w:rFonts w:ascii="Aptos" w:hAnsi="Aptos" w:cs="Arial"/>
        </w:rPr>
        <w:t>enhancing access to reasonable adjustments</w:t>
      </w:r>
      <w:r w:rsidR="00DD7C3B" w:rsidRPr="00F057FA">
        <w:rPr>
          <w:rFonts w:ascii="Aptos" w:hAnsi="Aptos" w:cs="Arial"/>
        </w:rPr>
        <w:t xml:space="preserve"> and </w:t>
      </w:r>
      <w:r w:rsidR="007E6375" w:rsidRPr="00F057FA">
        <w:rPr>
          <w:rFonts w:ascii="Aptos" w:hAnsi="Aptos" w:cs="Arial"/>
        </w:rPr>
        <w:t>improving</w:t>
      </w:r>
      <w:r w:rsidR="00DD7C3B" w:rsidRPr="00F057FA">
        <w:rPr>
          <w:rFonts w:ascii="Aptos" w:hAnsi="Aptos" w:cs="Arial"/>
        </w:rPr>
        <w:t xml:space="preserve"> scores for recruitment</w:t>
      </w:r>
      <w:r w:rsidRPr="00F057FA">
        <w:rPr>
          <w:rFonts w:ascii="Aptos" w:hAnsi="Aptos" w:cs="Arial"/>
        </w:rPr>
        <w:t>. However, challenges remain – particularly in addressing disparities in staff experience related to harassment,</w:t>
      </w:r>
      <w:r w:rsidR="00DD7C3B" w:rsidRPr="00F057FA">
        <w:rPr>
          <w:rFonts w:ascii="Aptos" w:hAnsi="Aptos" w:cs="Arial"/>
        </w:rPr>
        <w:t xml:space="preserve"> bullying and abuse</w:t>
      </w:r>
      <w:r w:rsidRPr="00F057FA">
        <w:rPr>
          <w:rFonts w:ascii="Aptos" w:hAnsi="Aptos" w:cs="Arial"/>
        </w:rPr>
        <w:t xml:space="preserve"> and feeling valued in the workplace.</w:t>
      </w:r>
    </w:p>
    <w:p w14:paraId="577D69FA" w14:textId="77777777" w:rsidR="000F53A3" w:rsidRPr="00F057FA" w:rsidRDefault="000F53A3" w:rsidP="00F057FA">
      <w:pPr>
        <w:pStyle w:val="NormalWeb"/>
        <w:spacing w:before="0" w:beforeAutospacing="0" w:after="0" w:afterAutospacing="0"/>
        <w:rPr>
          <w:rFonts w:ascii="Aptos" w:hAnsi="Aptos" w:cs="Arial"/>
        </w:rPr>
      </w:pPr>
    </w:p>
    <w:p w14:paraId="7155BCD8" w14:textId="77777777" w:rsidR="008519B6" w:rsidRDefault="008519B6" w:rsidP="00F057FA">
      <w:pPr>
        <w:pStyle w:val="NormalWeb"/>
        <w:spacing w:before="0" w:beforeAutospacing="0" w:after="0" w:afterAutospacing="0"/>
        <w:rPr>
          <w:rFonts w:ascii="Aptos" w:hAnsi="Aptos" w:cs="Arial"/>
        </w:rPr>
      </w:pPr>
      <w:r w:rsidRPr="00F057FA">
        <w:rPr>
          <w:rFonts w:ascii="Aptos" w:hAnsi="Aptos" w:cs="Arial"/>
        </w:rPr>
        <w:t>We recognise that sustained change requires ongoing engagement, accountability, and action. We remain committed to listening to our staff, learning from their experiences, and building a workplace where equity, respect, and opportunity are at the heart of everything we do.</w:t>
      </w:r>
    </w:p>
    <w:p w14:paraId="515091AC" w14:textId="77777777" w:rsidR="000F53A3" w:rsidRDefault="000F53A3" w:rsidP="00F057FA">
      <w:pPr>
        <w:pStyle w:val="NormalWeb"/>
        <w:spacing w:before="0" w:beforeAutospacing="0" w:after="0" w:afterAutospacing="0"/>
        <w:rPr>
          <w:rFonts w:ascii="Aptos" w:hAnsi="Aptos" w:cs="Arial"/>
        </w:rPr>
      </w:pPr>
    </w:p>
    <w:p w14:paraId="76714F27" w14:textId="77777777" w:rsidR="000F53A3" w:rsidRDefault="000F53A3" w:rsidP="00F057FA">
      <w:pPr>
        <w:pStyle w:val="NormalWeb"/>
        <w:spacing w:before="0" w:beforeAutospacing="0" w:after="0" w:afterAutospacing="0"/>
        <w:rPr>
          <w:rFonts w:ascii="Aptos" w:hAnsi="Aptos" w:cs="Arial"/>
        </w:rPr>
      </w:pPr>
    </w:p>
    <w:p w14:paraId="7631852E" w14:textId="77777777" w:rsidR="000F53A3" w:rsidRPr="00F057FA" w:rsidRDefault="000F53A3" w:rsidP="00F057FA">
      <w:pPr>
        <w:pStyle w:val="NormalWeb"/>
        <w:spacing w:before="0" w:beforeAutospacing="0" w:after="0" w:afterAutospacing="0"/>
        <w:rPr>
          <w:rFonts w:ascii="Aptos" w:hAnsi="Aptos" w:cs="Arial"/>
        </w:rPr>
      </w:pPr>
    </w:p>
    <w:p w14:paraId="62B58382" w14:textId="77777777" w:rsidR="00DD7C3B" w:rsidRPr="00F057FA" w:rsidRDefault="00DD7C3B" w:rsidP="00F057FA">
      <w:p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Key Highlights from 2025:</w:t>
      </w:r>
    </w:p>
    <w:p w14:paraId="6882ECD0" w14:textId="6F72F87D"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Workforce Representation:</w:t>
      </w:r>
      <w:r w:rsidRPr="00F057FA">
        <w:rPr>
          <w:rFonts w:ascii="Aptos" w:eastAsia="Times New Roman" w:hAnsi="Aptos" w:cs="Arial"/>
          <w:kern w:val="0"/>
          <w:lang w:eastAsia="en-GB"/>
          <w14:ligatures w14:val="none"/>
        </w:rPr>
        <w:br/>
        <w:t>4.8% of staff have declared a disability on the Electronic Staff Record (ESR), up from 4.0% in 2024. However, 18% of staff have not disclosed their status, highlighting the ongoing need to build awareness and trust across the workforce.</w:t>
      </w:r>
    </w:p>
    <w:p w14:paraId="01C3D88F" w14:textId="33EAFEC1"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Recruitment:</w:t>
      </w:r>
      <w:r w:rsidRPr="00F057FA">
        <w:rPr>
          <w:rFonts w:ascii="Aptos" w:eastAsia="Times New Roman" w:hAnsi="Aptos" w:cs="Arial"/>
          <w:kern w:val="0"/>
          <w:lang w:eastAsia="en-GB"/>
          <w14:ligatures w14:val="none"/>
        </w:rPr>
        <w:br/>
        <w:t>The relative likelihood of appointment for applicants with a disability improved slightly from 1.3 to 1.06. Nonetheless, a gap remains, with a 14.2% appointment rate for disabled applicants compared to 15.1% for non-disabled applicants.</w:t>
      </w:r>
    </w:p>
    <w:p w14:paraId="51579621" w14:textId="05368B10"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Capability Process:</w:t>
      </w:r>
      <w:r w:rsidRPr="00F057FA">
        <w:rPr>
          <w:rFonts w:ascii="Aptos" w:eastAsia="Times New Roman" w:hAnsi="Aptos" w:cs="Arial"/>
          <w:kern w:val="0"/>
          <w:lang w:eastAsia="en-GB"/>
          <w14:ligatures w14:val="none"/>
        </w:rPr>
        <w:br/>
        <w:t xml:space="preserve">For previous </w:t>
      </w:r>
      <w:r w:rsidR="00647776" w:rsidRPr="00F057FA">
        <w:rPr>
          <w:rFonts w:ascii="Aptos" w:eastAsia="Times New Roman" w:hAnsi="Aptos" w:cs="Arial"/>
          <w:kern w:val="0"/>
          <w:lang w:eastAsia="en-GB"/>
          <w14:ligatures w14:val="none"/>
        </w:rPr>
        <w:t>years'</w:t>
      </w:r>
      <w:r w:rsidRPr="00F057FA">
        <w:rPr>
          <w:rFonts w:ascii="Aptos" w:eastAsia="Times New Roman" w:hAnsi="Aptos" w:cs="Arial"/>
          <w:kern w:val="0"/>
          <w:lang w:eastAsia="en-GB"/>
          <w14:ligatures w14:val="none"/>
        </w:rPr>
        <w:t xml:space="preserve"> reporting, there were some challenges in the way data was collated due to issues with</w:t>
      </w:r>
      <w:r w:rsidR="00647776" w:rsidRPr="00F057FA">
        <w:rPr>
          <w:rFonts w:ascii="Aptos" w:eastAsia="Times New Roman" w:hAnsi="Aptos" w:cs="Arial"/>
          <w:kern w:val="0"/>
          <w:lang w:eastAsia="en-GB"/>
          <w14:ligatures w14:val="none"/>
        </w:rPr>
        <w:t xml:space="preserve"> limited </w:t>
      </w:r>
      <w:r w:rsidRPr="00F057FA">
        <w:rPr>
          <w:rFonts w:ascii="Aptos" w:eastAsia="Times New Roman" w:hAnsi="Aptos" w:cs="Arial"/>
          <w:kern w:val="0"/>
          <w:lang w:eastAsia="en-GB"/>
          <w14:ligatures w14:val="none"/>
        </w:rPr>
        <w:t>disability data held by the Trust</w:t>
      </w:r>
      <w:r w:rsidR="00647776" w:rsidRPr="00F057FA">
        <w:rPr>
          <w:rFonts w:ascii="Aptos" w:eastAsia="Times New Roman" w:hAnsi="Aptos" w:cs="Arial"/>
          <w:kern w:val="0"/>
          <w:lang w:eastAsia="en-GB"/>
          <w14:ligatures w14:val="none"/>
        </w:rPr>
        <w:t>.</w:t>
      </w:r>
      <w:r w:rsidRPr="00F057FA">
        <w:rPr>
          <w:rFonts w:ascii="Aptos" w:eastAsia="Times New Roman" w:hAnsi="Aptos" w:cs="Arial"/>
          <w:kern w:val="0"/>
          <w:lang w:eastAsia="en-GB"/>
          <w14:ligatures w14:val="none"/>
        </w:rPr>
        <w:t xml:space="preserve"> For </w:t>
      </w:r>
      <w:r w:rsidR="00647776" w:rsidRPr="00F057FA">
        <w:rPr>
          <w:rFonts w:ascii="Aptos" w:eastAsia="Times New Roman" w:hAnsi="Aptos" w:cs="Arial"/>
          <w:kern w:val="0"/>
          <w:lang w:eastAsia="en-GB"/>
          <w14:ligatures w14:val="none"/>
        </w:rPr>
        <w:t xml:space="preserve">the </w:t>
      </w:r>
      <w:r w:rsidRPr="00F057FA">
        <w:rPr>
          <w:rFonts w:ascii="Aptos" w:eastAsia="Times New Roman" w:hAnsi="Aptos" w:cs="Arial"/>
          <w:kern w:val="0"/>
          <w:lang w:eastAsia="en-GB"/>
          <w14:ligatures w14:val="none"/>
        </w:rPr>
        <w:t>2024 2025 reporting year</w:t>
      </w:r>
      <w:r w:rsidR="00647776" w:rsidRPr="00F057FA">
        <w:rPr>
          <w:rFonts w:ascii="Aptos" w:eastAsia="Times New Roman" w:hAnsi="Aptos" w:cs="Arial"/>
          <w:kern w:val="0"/>
          <w:lang w:eastAsia="en-GB"/>
          <w14:ligatures w14:val="none"/>
        </w:rPr>
        <w:t>,</w:t>
      </w:r>
      <w:r w:rsidRPr="00F057FA">
        <w:rPr>
          <w:rFonts w:ascii="Aptos" w:eastAsia="Times New Roman" w:hAnsi="Aptos" w:cs="Arial"/>
          <w:kern w:val="0"/>
          <w:lang w:eastAsia="en-GB"/>
          <w14:ligatures w14:val="none"/>
        </w:rPr>
        <w:t xml:space="preserve"> </w:t>
      </w:r>
      <w:r w:rsidR="00647776" w:rsidRPr="00F057FA">
        <w:rPr>
          <w:rFonts w:ascii="Aptos" w:eastAsia="Times New Roman" w:hAnsi="Aptos" w:cs="Arial"/>
          <w:kern w:val="0"/>
          <w:lang w:eastAsia="en-GB"/>
          <w14:ligatures w14:val="none"/>
        </w:rPr>
        <w:t>only one</w:t>
      </w:r>
      <w:r w:rsidRPr="00F057FA">
        <w:rPr>
          <w:rFonts w:ascii="Aptos" w:eastAsia="Times New Roman" w:hAnsi="Aptos" w:cs="Arial"/>
          <w:kern w:val="0"/>
          <w:lang w:eastAsia="en-GB"/>
          <w14:ligatures w14:val="none"/>
        </w:rPr>
        <w:t xml:space="preserve"> </w:t>
      </w:r>
      <w:r w:rsidR="00647776" w:rsidRPr="00F057FA">
        <w:rPr>
          <w:rFonts w:ascii="Aptos" w:eastAsia="Times New Roman" w:hAnsi="Aptos" w:cs="Arial"/>
          <w:kern w:val="0"/>
          <w:lang w:eastAsia="en-GB"/>
          <w14:ligatures w14:val="none"/>
        </w:rPr>
        <w:t>employee</w:t>
      </w:r>
      <w:r w:rsidRPr="00F057FA">
        <w:rPr>
          <w:rFonts w:ascii="Aptos" w:eastAsia="Times New Roman" w:hAnsi="Aptos" w:cs="Arial"/>
          <w:kern w:val="0"/>
          <w:lang w:eastAsia="en-GB"/>
          <w14:ligatures w14:val="none"/>
        </w:rPr>
        <w:t xml:space="preserve"> entered the formal capability process, which has skewed the data: </w:t>
      </w:r>
      <w:r w:rsidR="00B35BC1">
        <w:rPr>
          <w:rFonts w:ascii="Aptos" w:eastAsia="Times New Roman" w:hAnsi="Aptos" w:cs="Arial"/>
          <w:kern w:val="0"/>
          <w:lang w:eastAsia="en-GB"/>
          <w14:ligatures w14:val="none"/>
        </w:rPr>
        <w:t xml:space="preserve"> </w:t>
      </w:r>
      <w:r w:rsidR="00B35BC1" w:rsidRPr="00B35BC1">
        <w:rPr>
          <w:rFonts w:ascii="Aptos" w:eastAsia="Times New Roman" w:hAnsi="Aptos" w:cs="Arial"/>
          <w:kern w:val="0"/>
          <w:lang w:eastAsia="en-GB"/>
          <w14:ligatures w14:val="none"/>
        </w:rPr>
        <w:t xml:space="preserve">In 2025 </w:t>
      </w:r>
      <w:r w:rsidRPr="00B35BC1">
        <w:rPr>
          <w:rFonts w:ascii="Aptos" w:eastAsia="Times New Roman" w:hAnsi="Aptos" w:cs="Arial"/>
          <w:kern w:val="0"/>
          <w:lang w:eastAsia="en-GB"/>
          <w14:ligatures w14:val="none"/>
        </w:rPr>
        <w:t>staff with disabilities were 3.00 times more likely to enter this process. However</w:t>
      </w:r>
      <w:r w:rsidRPr="00F057FA">
        <w:rPr>
          <w:rFonts w:ascii="Aptos" w:eastAsia="Times New Roman" w:hAnsi="Aptos" w:cs="Arial"/>
          <w:kern w:val="0"/>
          <w:lang w:eastAsia="en-GB"/>
          <w14:ligatures w14:val="none"/>
        </w:rPr>
        <w:t>, in absolute terms, this involved only 0.</w:t>
      </w:r>
      <w:r w:rsidR="00647776" w:rsidRPr="00F057FA">
        <w:rPr>
          <w:rFonts w:ascii="Aptos" w:eastAsia="Times New Roman" w:hAnsi="Aptos" w:cs="Arial"/>
          <w:kern w:val="0"/>
          <w:lang w:eastAsia="en-GB"/>
          <w14:ligatures w14:val="none"/>
        </w:rPr>
        <w:t>1</w:t>
      </w:r>
      <w:r w:rsidRPr="00F057FA">
        <w:rPr>
          <w:rFonts w:ascii="Aptos" w:eastAsia="Times New Roman" w:hAnsi="Aptos" w:cs="Arial"/>
          <w:kern w:val="0"/>
          <w:lang w:eastAsia="en-GB"/>
          <w14:ligatures w14:val="none"/>
        </w:rPr>
        <w:t>% of disabled staff and 0.1% of non-disabled staff.</w:t>
      </w:r>
    </w:p>
    <w:p w14:paraId="282741F7" w14:textId="7444BF2E"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Harassment and Bullying:</w:t>
      </w:r>
      <w:r w:rsidRPr="00F057FA">
        <w:rPr>
          <w:rFonts w:ascii="Aptos" w:eastAsia="Times New Roman" w:hAnsi="Aptos" w:cs="Arial"/>
          <w:kern w:val="0"/>
          <w:lang w:eastAsia="en-GB"/>
          <w14:ligatures w14:val="none"/>
        </w:rPr>
        <w:br/>
        <w:t xml:space="preserve">Staff with long-term conditions continue to experience higher rates of bullying and abuse—particularly from patients and colleagues—than their non-disabled peers. Encouragingly, </w:t>
      </w:r>
      <w:r w:rsidR="00647776" w:rsidRPr="00F057FA">
        <w:rPr>
          <w:rFonts w:ascii="Aptos" w:eastAsia="Times New Roman" w:hAnsi="Aptos" w:cs="Arial"/>
          <w:kern w:val="0"/>
          <w:lang w:eastAsia="en-GB"/>
          <w14:ligatures w14:val="none"/>
        </w:rPr>
        <w:t>there have been improvements with the percentage of staff experiencing bullying and harassment from their line managers</w:t>
      </w:r>
    </w:p>
    <w:p w14:paraId="051A6046" w14:textId="26F23D5A"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Career Progression:</w:t>
      </w:r>
      <w:r w:rsidRPr="00F057FA">
        <w:rPr>
          <w:rFonts w:ascii="Aptos" w:eastAsia="Times New Roman" w:hAnsi="Aptos" w:cs="Arial"/>
          <w:kern w:val="0"/>
          <w:lang w:eastAsia="en-GB"/>
          <w14:ligatures w14:val="none"/>
        </w:rPr>
        <w:br/>
        <w:t>5</w:t>
      </w:r>
      <w:r w:rsidR="00647776" w:rsidRPr="00F057FA">
        <w:rPr>
          <w:rFonts w:ascii="Aptos" w:eastAsia="Times New Roman" w:hAnsi="Aptos" w:cs="Arial"/>
          <w:kern w:val="0"/>
          <w:lang w:eastAsia="en-GB"/>
          <w14:ligatures w14:val="none"/>
        </w:rPr>
        <w:t>2%</w:t>
      </w:r>
      <w:r w:rsidRPr="00F057FA">
        <w:rPr>
          <w:rFonts w:ascii="Aptos" w:eastAsia="Times New Roman" w:hAnsi="Aptos" w:cs="Arial"/>
          <w:kern w:val="0"/>
          <w:lang w:eastAsia="en-GB"/>
          <w14:ligatures w14:val="none"/>
        </w:rPr>
        <w:t xml:space="preserve"> of staff with a long-term condition believe they have equal opportunities for progression, reducing the gap with non-disabled colleagues to </w:t>
      </w:r>
      <w:r w:rsidR="00647776" w:rsidRPr="00F057FA">
        <w:rPr>
          <w:rFonts w:ascii="Aptos" w:eastAsia="Times New Roman" w:hAnsi="Aptos" w:cs="Arial"/>
          <w:kern w:val="0"/>
          <w:lang w:eastAsia="en-GB"/>
          <w14:ligatures w14:val="none"/>
        </w:rPr>
        <w:t>3.66</w:t>
      </w:r>
    </w:p>
    <w:p w14:paraId="5FEC121A" w14:textId="06472026"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Presenteeism:</w:t>
      </w:r>
      <w:r w:rsidRPr="00F057FA">
        <w:rPr>
          <w:rFonts w:ascii="Aptos" w:eastAsia="Times New Roman" w:hAnsi="Aptos" w:cs="Arial"/>
          <w:kern w:val="0"/>
          <w:lang w:eastAsia="en-GB"/>
          <w14:ligatures w14:val="none"/>
        </w:rPr>
        <w:br/>
        <w:t>The proportion of staff with long-term conditions who felt pressured to work while unwell dropped to 2</w:t>
      </w:r>
      <w:r w:rsidR="00647776" w:rsidRPr="00F057FA">
        <w:rPr>
          <w:rFonts w:ascii="Aptos" w:eastAsia="Times New Roman" w:hAnsi="Aptos" w:cs="Arial"/>
          <w:kern w:val="0"/>
          <w:lang w:eastAsia="en-GB"/>
          <w14:ligatures w14:val="none"/>
        </w:rPr>
        <w:t>7.9% from 34.7%</w:t>
      </w:r>
      <w:r w:rsidRPr="00F057FA">
        <w:rPr>
          <w:rFonts w:ascii="Aptos" w:eastAsia="Times New Roman" w:hAnsi="Aptos" w:cs="Arial"/>
          <w:kern w:val="0"/>
          <w:lang w:eastAsia="en-GB"/>
          <w14:ligatures w14:val="none"/>
        </w:rPr>
        <w:t>, indicating progress in wellbeing support.</w:t>
      </w:r>
    </w:p>
    <w:p w14:paraId="7E7F63E1" w14:textId="0BEFBC72"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Feeling Valued:</w:t>
      </w:r>
      <w:r w:rsidRPr="00F057FA">
        <w:rPr>
          <w:rFonts w:ascii="Aptos" w:eastAsia="Times New Roman" w:hAnsi="Aptos" w:cs="Arial"/>
          <w:kern w:val="0"/>
          <w:lang w:eastAsia="en-GB"/>
          <w14:ligatures w14:val="none"/>
        </w:rPr>
        <w:br/>
        <w:t xml:space="preserve">Only </w:t>
      </w:r>
      <w:r w:rsidR="00647776" w:rsidRPr="00F057FA">
        <w:rPr>
          <w:rFonts w:ascii="Aptos" w:eastAsia="Times New Roman" w:hAnsi="Aptos" w:cs="Arial"/>
          <w:kern w:val="0"/>
          <w:lang w:eastAsia="en-GB"/>
          <w14:ligatures w14:val="none"/>
        </w:rPr>
        <w:t xml:space="preserve">33.6% </w:t>
      </w:r>
      <w:r w:rsidRPr="00F057FA">
        <w:rPr>
          <w:rFonts w:ascii="Aptos" w:eastAsia="Times New Roman" w:hAnsi="Aptos" w:cs="Arial"/>
          <w:kern w:val="0"/>
          <w:lang w:eastAsia="en-GB"/>
          <w14:ligatures w14:val="none"/>
        </w:rPr>
        <w:t xml:space="preserve">of staff with long-term conditions feel valued by the organisation, compared to </w:t>
      </w:r>
      <w:r w:rsidR="00A3139D" w:rsidRPr="00F057FA">
        <w:rPr>
          <w:rFonts w:ascii="Aptos" w:eastAsia="Times New Roman" w:hAnsi="Aptos" w:cs="Arial"/>
          <w:kern w:val="0"/>
          <w:lang w:eastAsia="en-GB"/>
          <w14:ligatures w14:val="none"/>
        </w:rPr>
        <w:t>46.7%</w:t>
      </w:r>
      <w:r w:rsidRPr="00F057FA">
        <w:rPr>
          <w:rFonts w:ascii="Aptos" w:eastAsia="Times New Roman" w:hAnsi="Aptos" w:cs="Arial"/>
          <w:kern w:val="0"/>
          <w:lang w:eastAsia="en-GB"/>
          <w14:ligatures w14:val="none"/>
        </w:rPr>
        <w:t xml:space="preserve"> of non-disabled staff. This disparity remains a key area of concern.</w:t>
      </w:r>
    </w:p>
    <w:p w14:paraId="7827B947" w14:textId="45CFA5AA" w:rsidR="00DD7C3B" w:rsidRPr="00F057FA" w:rsidRDefault="00DD7C3B" w:rsidP="00F057FA">
      <w:pPr>
        <w:numPr>
          <w:ilvl w:val="0"/>
          <w:numId w:val="31"/>
        </w:numPr>
        <w:spacing w:after="0" w:line="240" w:lineRule="auto"/>
        <w:rPr>
          <w:rFonts w:ascii="Aptos" w:eastAsia="Times New Roman" w:hAnsi="Aptos" w:cs="Arial"/>
          <w:kern w:val="0"/>
          <w:lang w:eastAsia="en-GB"/>
          <w14:ligatures w14:val="none"/>
        </w:rPr>
      </w:pPr>
      <w:r w:rsidRPr="00F057FA">
        <w:rPr>
          <w:rFonts w:ascii="Aptos" w:eastAsia="Times New Roman" w:hAnsi="Aptos" w:cs="Arial"/>
          <w:b/>
          <w:bCs/>
          <w:kern w:val="0"/>
          <w:lang w:eastAsia="en-GB"/>
          <w14:ligatures w14:val="none"/>
        </w:rPr>
        <w:t>Reasonable Adjustments:</w:t>
      </w:r>
      <w:r w:rsidRPr="00F057FA">
        <w:rPr>
          <w:rFonts w:ascii="Aptos" w:eastAsia="Times New Roman" w:hAnsi="Aptos" w:cs="Arial"/>
          <w:kern w:val="0"/>
          <w:lang w:eastAsia="en-GB"/>
          <w14:ligatures w14:val="none"/>
        </w:rPr>
        <w:br/>
        <w:t>7</w:t>
      </w:r>
      <w:r w:rsidR="00A3139D" w:rsidRPr="00F057FA">
        <w:rPr>
          <w:rFonts w:ascii="Aptos" w:eastAsia="Times New Roman" w:hAnsi="Aptos" w:cs="Arial"/>
          <w:kern w:val="0"/>
          <w:lang w:eastAsia="en-GB"/>
          <w14:ligatures w14:val="none"/>
        </w:rPr>
        <w:t xml:space="preserve">1.9% of </w:t>
      </w:r>
      <w:r w:rsidRPr="00F057FA">
        <w:rPr>
          <w:rFonts w:ascii="Aptos" w:eastAsia="Times New Roman" w:hAnsi="Aptos" w:cs="Arial"/>
          <w:kern w:val="0"/>
          <w:lang w:eastAsia="en-GB"/>
          <w14:ligatures w14:val="none"/>
        </w:rPr>
        <w:t xml:space="preserve">staff with long-term conditions reported receiving reasonable adjustments, </w:t>
      </w:r>
      <w:r w:rsidR="00A3139D" w:rsidRPr="00F057FA">
        <w:rPr>
          <w:rFonts w:ascii="Aptos" w:eastAsia="Times New Roman" w:hAnsi="Aptos" w:cs="Arial"/>
          <w:kern w:val="0"/>
          <w:lang w:eastAsia="en-GB"/>
          <w14:ligatures w14:val="none"/>
        </w:rPr>
        <w:t>an improvement from the previous year which was 68.9%</w:t>
      </w:r>
    </w:p>
    <w:p w14:paraId="25EBC9F5" w14:textId="7EDF8896" w:rsidR="00DD7C3B" w:rsidRPr="00F057FA" w:rsidRDefault="00DD7C3B" w:rsidP="00F057FA">
      <w:pPr>
        <w:numPr>
          <w:ilvl w:val="0"/>
          <w:numId w:val="31"/>
        </w:numPr>
        <w:spacing w:after="0" w:line="240" w:lineRule="auto"/>
        <w:rPr>
          <w:rFonts w:ascii="Aptos" w:eastAsia="Times New Roman" w:hAnsi="Aptos" w:cs="Times New Roman"/>
          <w:kern w:val="0"/>
          <w:lang w:eastAsia="en-GB"/>
          <w14:ligatures w14:val="none"/>
        </w:rPr>
      </w:pPr>
      <w:r w:rsidRPr="00F057FA">
        <w:rPr>
          <w:rFonts w:ascii="Aptos" w:eastAsia="Times New Roman" w:hAnsi="Aptos" w:cs="Arial"/>
          <w:b/>
          <w:bCs/>
          <w:kern w:val="0"/>
          <w:lang w:eastAsia="en-GB"/>
          <w14:ligatures w14:val="none"/>
        </w:rPr>
        <w:t>Board Representation:</w:t>
      </w:r>
      <w:r w:rsidRPr="00F057FA">
        <w:rPr>
          <w:rFonts w:ascii="Aptos" w:eastAsia="Times New Roman" w:hAnsi="Aptos" w:cs="Arial"/>
          <w:kern w:val="0"/>
          <w:lang w:eastAsia="en-GB"/>
          <w14:ligatures w14:val="none"/>
        </w:rPr>
        <w:br/>
      </w:r>
      <w:r w:rsidR="00A3139D" w:rsidRPr="00F057FA">
        <w:rPr>
          <w:rFonts w:ascii="Aptos" w:eastAsia="Times New Roman" w:hAnsi="Aptos" w:cs="Arial"/>
          <w:kern w:val="0"/>
          <w:lang w:eastAsia="en-GB"/>
          <w14:ligatures w14:val="none"/>
        </w:rPr>
        <w:t>0%</w:t>
      </w:r>
      <w:r w:rsidRPr="00F057FA">
        <w:rPr>
          <w:rFonts w:ascii="Aptos" w:eastAsia="Times New Roman" w:hAnsi="Aptos" w:cs="Arial"/>
          <w:kern w:val="0"/>
          <w:lang w:eastAsia="en-GB"/>
          <w14:ligatures w14:val="none"/>
        </w:rPr>
        <w:t xml:space="preserve"> of board members declared a disability in 2025</w:t>
      </w:r>
      <w:r w:rsidR="00A3139D" w:rsidRPr="00F057FA">
        <w:rPr>
          <w:rFonts w:ascii="Aptos" w:eastAsia="Times New Roman" w:hAnsi="Aptos" w:cs="Arial"/>
          <w:kern w:val="0"/>
          <w:lang w:eastAsia="en-GB"/>
          <w14:ligatures w14:val="none"/>
        </w:rPr>
        <w:t>. This has remained static since the previous reporting year.</w:t>
      </w:r>
    </w:p>
    <w:p w14:paraId="33512C71" w14:textId="77777777" w:rsidR="000F53A3" w:rsidRDefault="000F53A3" w:rsidP="00F057FA">
      <w:pPr>
        <w:spacing w:after="0" w:line="240" w:lineRule="auto"/>
        <w:rPr>
          <w:rFonts w:ascii="Aptos" w:eastAsia="Times New Roman" w:hAnsi="Aptos" w:cs="Arial"/>
          <w:kern w:val="0"/>
          <w:lang w:eastAsia="en-GB"/>
          <w14:ligatures w14:val="none"/>
        </w:rPr>
      </w:pPr>
    </w:p>
    <w:p w14:paraId="61AF740C" w14:textId="4719234C" w:rsidR="00DD7C3B" w:rsidRPr="00F057FA" w:rsidRDefault="00DD7C3B" w:rsidP="00F057FA">
      <w:pPr>
        <w:spacing w:after="0" w:line="240" w:lineRule="auto"/>
        <w:rPr>
          <w:rFonts w:ascii="Aptos" w:eastAsia="Times New Roman" w:hAnsi="Aptos" w:cs="Arial"/>
          <w:kern w:val="0"/>
          <w:lang w:eastAsia="en-GB"/>
          <w14:ligatures w14:val="none"/>
        </w:rPr>
      </w:pPr>
      <w:r w:rsidRPr="00F057FA">
        <w:rPr>
          <w:rFonts w:ascii="Aptos" w:eastAsia="Times New Roman" w:hAnsi="Aptos" w:cs="Arial"/>
          <w:kern w:val="0"/>
          <w:lang w:eastAsia="en-GB"/>
          <w14:ligatures w14:val="none"/>
        </w:rPr>
        <w:t xml:space="preserve">These insights reinforce the need for </w:t>
      </w:r>
      <w:r w:rsidR="00A3139D" w:rsidRPr="00F057FA">
        <w:rPr>
          <w:rFonts w:ascii="Aptos" w:eastAsia="Times New Roman" w:hAnsi="Aptos" w:cs="Arial"/>
          <w:kern w:val="0"/>
          <w:lang w:eastAsia="en-GB"/>
          <w14:ligatures w14:val="none"/>
        </w:rPr>
        <w:t>sustained</w:t>
      </w:r>
      <w:r w:rsidRPr="00F057FA">
        <w:rPr>
          <w:rFonts w:ascii="Aptos" w:eastAsia="Times New Roman" w:hAnsi="Aptos" w:cs="Arial"/>
          <w:kern w:val="0"/>
          <w:lang w:eastAsia="en-GB"/>
          <w14:ligatures w14:val="none"/>
        </w:rPr>
        <w:t xml:space="preserve"> focused efforts. Our </w:t>
      </w:r>
      <w:r w:rsidR="000F53A3">
        <w:rPr>
          <w:rFonts w:ascii="Aptos" w:eastAsia="Times New Roman" w:hAnsi="Aptos" w:cs="Arial"/>
          <w:kern w:val="0"/>
          <w:lang w:eastAsia="en-GB"/>
          <w14:ligatures w14:val="none"/>
        </w:rPr>
        <w:t xml:space="preserve">With you all the way Culture programme and </w:t>
      </w:r>
      <w:r w:rsidRPr="00F057FA">
        <w:rPr>
          <w:rFonts w:ascii="Aptos" w:eastAsia="Times New Roman" w:hAnsi="Aptos" w:cs="Arial"/>
          <w:kern w:val="0"/>
          <w:lang w:eastAsia="en-GB"/>
          <w14:ligatures w14:val="none"/>
        </w:rPr>
        <w:t>refreshed</w:t>
      </w:r>
      <w:r w:rsidR="000F53A3">
        <w:rPr>
          <w:rFonts w:ascii="Aptos" w:eastAsia="Times New Roman" w:hAnsi="Aptos" w:cs="Arial"/>
          <w:kern w:val="0"/>
          <w:lang w:eastAsia="en-GB"/>
          <w14:ligatures w14:val="none"/>
        </w:rPr>
        <w:t xml:space="preserve"> EDI priorities aligned to our</w:t>
      </w:r>
      <w:r w:rsidRPr="00F057FA">
        <w:rPr>
          <w:rFonts w:ascii="Aptos" w:eastAsia="Times New Roman" w:hAnsi="Aptos" w:cs="Arial"/>
          <w:kern w:val="0"/>
          <w:lang w:eastAsia="en-GB"/>
          <w14:ligatures w14:val="none"/>
        </w:rPr>
        <w:t xml:space="preserve"> WDES plan prioritises inclusive leadership, fair recruitment and career development, psychological safety, and a zero-tolerance stance on discrimination and harassment.</w:t>
      </w:r>
    </w:p>
    <w:p w14:paraId="457F0388" w14:textId="77777777" w:rsidR="000F53A3" w:rsidRDefault="000F53A3" w:rsidP="00F057FA">
      <w:pPr>
        <w:spacing w:after="0" w:line="240" w:lineRule="auto"/>
        <w:rPr>
          <w:rFonts w:ascii="Aptos" w:eastAsia="Times New Roman" w:hAnsi="Aptos" w:cs="Arial"/>
          <w:kern w:val="0"/>
          <w:lang w:eastAsia="en-GB"/>
          <w14:ligatures w14:val="none"/>
        </w:rPr>
      </w:pPr>
    </w:p>
    <w:p w14:paraId="2303EB78" w14:textId="50ED9521" w:rsidR="00DD7C3B" w:rsidRDefault="00DD7C3B" w:rsidP="00F057FA">
      <w:pPr>
        <w:spacing w:after="0" w:line="240" w:lineRule="auto"/>
        <w:rPr>
          <w:rFonts w:ascii="Aptos" w:eastAsia="Times New Roman" w:hAnsi="Aptos" w:cs="Arial"/>
          <w:kern w:val="0"/>
          <w:lang w:eastAsia="en-GB"/>
          <w14:ligatures w14:val="none"/>
        </w:rPr>
      </w:pPr>
      <w:r w:rsidRPr="00F057FA">
        <w:rPr>
          <w:rFonts w:ascii="Aptos" w:eastAsia="Times New Roman" w:hAnsi="Aptos" w:cs="Arial"/>
          <w:kern w:val="0"/>
          <w:lang w:eastAsia="en-GB"/>
          <w14:ligatures w14:val="none"/>
        </w:rPr>
        <w:lastRenderedPageBreak/>
        <w:t>We remain committed to fostering a workplace where every individual—regardless of disability or health condition—can thrive, feel valued, and contribute meaningfully to our organisation.</w:t>
      </w:r>
    </w:p>
    <w:p w14:paraId="6D98A9A4" w14:textId="77777777" w:rsidR="000F53A3" w:rsidRPr="00F057FA" w:rsidRDefault="000F53A3" w:rsidP="00F057FA">
      <w:pPr>
        <w:spacing w:after="0" w:line="240" w:lineRule="auto"/>
        <w:rPr>
          <w:rFonts w:ascii="Aptos" w:eastAsia="Times New Roman" w:hAnsi="Aptos" w:cs="Arial"/>
          <w:kern w:val="0"/>
          <w:lang w:eastAsia="en-GB"/>
          <w14:ligatures w14:val="none"/>
        </w:rPr>
      </w:pPr>
    </w:p>
    <w:p w14:paraId="582F1BE2" w14:textId="33918842" w:rsidR="00DD7C3B" w:rsidRDefault="00A3139D" w:rsidP="00F057FA">
      <w:pPr>
        <w:shd w:val="clear" w:color="auto" w:fill="FFFFFF" w:themeFill="background1"/>
        <w:spacing w:after="0" w:line="240" w:lineRule="auto"/>
        <w:rPr>
          <w:rFonts w:ascii="Aptos" w:hAnsi="Aptos"/>
        </w:rPr>
      </w:pPr>
      <w:r w:rsidRPr="00F057FA">
        <w:rPr>
          <w:rFonts w:ascii="Aptos" w:hAnsi="Aptos" w:cs="Arial"/>
        </w:rPr>
        <w:t xml:space="preserve">Shortly before the publication of the NHS Staff Survey 2023, a potential issue was identified affecting the data for certain questions. To address this, statistical methods were applied to adjust the affected results. As a result, the data for Question 14 have been revised from what was previously released. This means that comparisons involving the 2023 data may differ from those in the earlier published report. For further details, please refer to the Survey Coordination Centre’s guidance: </w:t>
      </w:r>
      <w:r w:rsidRPr="00F057FA">
        <w:rPr>
          <w:rStyle w:val="Emphasis"/>
          <w:rFonts w:ascii="Aptos" w:hAnsi="Aptos" w:cs="Arial"/>
        </w:rPr>
        <w:t>Survey documents related to conducting the survey | NHS Staff Survey</w:t>
      </w:r>
      <w:r w:rsidRPr="00F057FA">
        <w:rPr>
          <w:rFonts w:ascii="Aptos" w:hAnsi="Aptos"/>
        </w:rPr>
        <w:t>.</w:t>
      </w:r>
    </w:p>
    <w:p w14:paraId="4B847C23" w14:textId="77777777" w:rsidR="000F53A3" w:rsidRPr="00F057FA" w:rsidRDefault="000F53A3" w:rsidP="00F057FA">
      <w:pPr>
        <w:shd w:val="clear" w:color="auto" w:fill="FFFFFF" w:themeFill="background1"/>
        <w:spacing w:after="0" w:line="240" w:lineRule="auto"/>
        <w:rPr>
          <w:rFonts w:ascii="Aptos" w:eastAsia="Segoe UI" w:hAnsi="Aptos" w:cs="Segoe UI"/>
          <w:b/>
          <w:bCs/>
          <w:color w:val="424242"/>
          <w:sz w:val="27"/>
          <w:szCs w:val="27"/>
        </w:rPr>
      </w:pPr>
    </w:p>
    <w:p w14:paraId="1949D996" w14:textId="77777777" w:rsidR="008519B6" w:rsidRPr="00F057FA" w:rsidRDefault="008519B6" w:rsidP="00F057FA">
      <w:pPr>
        <w:pStyle w:val="Heading1"/>
        <w:spacing w:before="0" w:after="0" w:line="240" w:lineRule="auto"/>
        <w:rPr>
          <w:rFonts w:ascii="Aptos" w:hAnsi="Aptos"/>
        </w:rPr>
      </w:pPr>
      <w:bookmarkStart w:id="3" w:name="_Toc198627455"/>
      <w:r w:rsidRPr="00F057FA">
        <w:rPr>
          <w:rFonts w:ascii="Aptos" w:hAnsi="Aptos"/>
        </w:rPr>
        <w:t>Annual Submission Measures</w:t>
      </w:r>
      <w:bookmarkEnd w:id="3"/>
    </w:p>
    <w:p w14:paraId="68B521E4" w14:textId="77777777" w:rsidR="00A3139D" w:rsidRDefault="00A3139D" w:rsidP="00F057FA">
      <w:pPr>
        <w:pStyle w:val="NormalWeb"/>
        <w:spacing w:before="0" w:beforeAutospacing="0" w:after="0" w:afterAutospacing="0"/>
        <w:rPr>
          <w:rFonts w:ascii="Aptos" w:hAnsi="Aptos" w:cs="Arial"/>
        </w:rPr>
      </w:pPr>
      <w:r w:rsidRPr="00F057FA">
        <w:rPr>
          <w:rFonts w:ascii="Aptos" w:hAnsi="Aptos" w:cs="Arial"/>
        </w:rPr>
        <w:t>The Workforce Disability Equality Standard (WDES) comprises ten specific metrics designed to help NHS organisations compare the workplace experiences and career progression of disabled and non-disabled staff. While the WDES offers a high-level overview, we have conducted a more in-depth analysis to guide our conclusions and inform our action plans.</w:t>
      </w:r>
    </w:p>
    <w:p w14:paraId="00079792" w14:textId="77777777" w:rsidR="000F53A3" w:rsidRPr="00F057FA" w:rsidRDefault="000F53A3" w:rsidP="00F057FA">
      <w:pPr>
        <w:pStyle w:val="NormalWeb"/>
        <w:spacing w:before="0" w:beforeAutospacing="0" w:after="0" w:afterAutospacing="0"/>
        <w:rPr>
          <w:rFonts w:ascii="Aptos" w:hAnsi="Aptos" w:cs="Arial"/>
        </w:rPr>
      </w:pPr>
    </w:p>
    <w:p w14:paraId="07E20771" w14:textId="77777777" w:rsidR="00A3139D" w:rsidRPr="00F057FA" w:rsidRDefault="00A3139D" w:rsidP="00F057FA">
      <w:pPr>
        <w:pStyle w:val="NormalWeb"/>
        <w:spacing w:before="0" w:beforeAutospacing="0" w:after="0" w:afterAutospacing="0"/>
        <w:rPr>
          <w:rFonts w:ascii="Aptos" w:hAnsi="Aptos" w:cs="Arial"/>
        </w:rPr>
      </w:pPr>
      <w:r w:rsidRPr="00F057FA">
        <w:rPr>
          <w:rStyle w:val="Strong"/>
          <w:rFonts w:ascii="Aptos" w:eastAsiaTheme="majorEastAsia" w:hAnsi="Aptos" w:cs="Arial"/>
        </w:rPr>
        <w:t>WDES Metrics:</w:t>
      </w:r>
    </w:p>
    <w:p w14:paraId="054424D7"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Representation in the workforce</w:t>
      </w:r>
    </w:p>
    <w:p w14:paraId="2245F4B8"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Recruitment practices</w:t>
      </w:r>
    </w:p>
    <w:p w14:paraId="70C9FB8D"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Capability procedures</w:t>
      </w:r>
    </w:p>
    <w:p w14:paraId="0FC43FB8"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Experiences of harassment, bullying, and abuse from patients/public, managers, and colleagues</w:t>
      </w:r>
    </w:p>
    <w:p w14:paraId="76CD341B"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Opportunities for career progression</w:t>
      </w:r>
    </w:p>
    <w:p w14:paraId="3954EDD7"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Pressure to attend work despite ill health</w:t>
      </w:r>
    </w:p>
    <w:p w14:paraId="0A3518AA"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Feeling valued for contributions at work</w:t>
      </w:r>
    </w:p>
    <w:p w14:paraId="31FFF725"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Availability of reasonable adjustments</w:t>
      </w:r>
    </w:p>
    <w:p w14:paraId="43B9018F" w14:textId="77777777" w:rsidR="00A3139D" w:rsidRPr="00F057FA"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Overall staff engagement score</w:t>
      </w:r>
    </w:p>
    <w:p w14:paraId="65945333" w14:textId="507E77A2" w:rsidR="008519B6" w:rsidRDefault="00A3139D" w:rsidP="00F057FA">
      <w:pPr>
        <w:pStyle w:val="NormalWeb"/>
        <w:numPr>
          <w:ilvl w:val="0"/>
          <w:numId w:val="32"/>
        </w:numPr>
        <w:spacing w:before="0" w:beforeAutospacing="0" w:after="0" w:afterAutospacing="0"/>
        <w:rPr>
          <w:rFonts w:ascii="Aptos" w:hAnsi="Aptos" w:cs="Arial"/>
        </w:rPr>
      </w:pPr>
      <w:r w:rsidRPr="00F057FA">
        <w:rPr>
          <w:rFonts w:ascii="Aptos" w:hAnsi="Aptos" w:cs="Arial"/>
        </w:rPr>
        <w:t>Representation at Board level</w:t>
      </w:r>
    </w:p>
    <w:p w14:paraId="2F350077" w14:textId="77777777" w:rsidR="000F53A3" w:rsidRPr="00F057FA" w:rsidRDefault="000F53A3" w:rsidP="00CF0853">
      <w:pPr>
        <w:pStyle w:val="NormalWeb"/>
        <w:spacing w:before="0" w:beforeAutospacing="0" w:after="0" w:afterAutospacing="0"/>
        <w:ind w:left="720"/>
        <w:rPr>
          <w:rFonts w:ascii="Aptos" w:hAnsi="Aptos" w:cs="Arial"/>
        </w:rPr>
      </w:pPr>
    </w:p>
    <w:p w14:paraId="0648C30B" w14:textId="77777777" w:rsidR="008519B6" w:rsidRPr="00F057FA" w:rsidRDefault="008519B6" w:rsidP="00F057FA">
      <w:pPr>
        <w:pStyle w:val="Heading1"/>
        <w:spacing w:before="0" w:after="0" w:line="240" w:lineRule="auto"/>
        <w:rPr>
          <w:rFonts w:ascii="Aptos" w:hAnsi="Aptos"/>
        </w:rPr>
      </w:pPr>
      <w:bookmarkStart w:id="4" w:name="_Toc198627456"/>
      <w:r w:rsidRPr="00F057FA">
        <w:rPr>
          <w:rFonts w:ascii="Aptos" w:hAnsi="Aptos"/>
        </w:rPr>
        <w:t>Workforce Disability Equality Standard Overview</w:t>
      </w:r>
      <w:bookmarkEnd w:id="4"/>
    </w:p>
    <w:p w14:paraId="4309CFC1" w14:textId="6A73F4C1" w:rsidR="00A3139D" w:rsidRPr="00F057FA" w:rsidRDefault="008519B6" w:rsidP="00F057FA">
      <w:pPr>
        <w:spacing w:after="0" w:line="240" w:lineRule="auto"/>
        <w:rPr>
          <w:rFonts w:ascii="Aptos" w:hAnsi="Aptos"/>
        </w:rPr>
      </w:pPr>
      <w:r w:rsidRPr="00F057FA">
        <w:rPr>
          <w:rFonts w:ascii="Aptos" w:hAnsi="Aptos"/>
        </w:rPr>
        <w:t xml:space="preserve">Over the past 5 years, we have undertaken a detailed analysis of our Workforce Disability Equality Standard metrics. The chart below summarises our performance and provides a trend analysis from 2020 to 2025 on all ten metrics. </w:t>
      </w:r>
    </w:p>
    <w:p w14:paraId="67B9488F" w14:textId="29B779AC" w:rsidR="008519B6" w:rsidRPr="00F057FA" w:rsidRDefault="008519B6" w:rsidP="00F057FA">
      <w:pPr>
        <w:spacing w:after="0" w:line="240" w:lineRule="auto"/>
        <w:rPr>
          <w:rFonts w:ascii="Aptos" w:hAnsi="Aptos"/>
        </w:rPr>
      </w:pPr>
      <w:r w:rsidRPr="00F057FA">
        <w:rPr>
          <w:rFonts w:ascii="Aptos" w:hAnsi="Aptos"/>
        </w:rPr>
        <w:t>Note: staff survey metrics are 1 year behind submission year; 2025 data shown in this table is 2024 staff survey metrics.</w:t>
      </w:r>
    </w:p>
    <w:p w14:paraId="2B0E9ED5" w14:textId="50D9AA12" w:rsidR="00A3139D" w:rsidRPr="00F057FA" w:rsidRDefault="00A3139D" w:rsidP="00F057FA">
      <w:pPr>
        <w:spacing w:after="0" w:line="240" w:lineRule="auto"/>
        <w:rPr>
          <w:rFonts w:ascii="Aptos" w:hAnsi="Aptos"/>
        </w:rPr>
      </w:pPr>
      <w:r w:rsidRPr="00F057FA">
        <w:rPr>
          <w:rFonts w:ascii="Aptos" w:hAnsi="Aptos"/>
          <w:noProof/>
        </w:rPr>
        <w:lastRenderedPageBreak/>
        <w:drawing>
          <wp:inline distT="0" distB="0" distL="0" distR="0" wp14:anchorId="495E611C" wp14:editId="5258BA5D">
            <wp:extent cx="6229274" cy="2976664"/>
            <wp:effectExtent l="0" t="0" r="635" b="0"/>
            <wp:docPr id="1515856589" name="Picture 1" descr="Over the past 5 years, we have undertaken a detailed analysis of our Workforce Disability Equality Standard metrics. The chart summarises our performance and provides a trend analysis from 2020 to 2025 on all ten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6589" name="Picture 1" descr="Over the past 5 years, we have undertaken a detailed analysis of our Workforce Disability Equality Standard metrics. The chart summarises our performance and provides a trend analysis from 2020 to 2025 on all ten metrics"/>
                    <pic:cNvPicPr/>
                  </pic:nvPicPr>
                  <pic:blipFill rotWithShape="1">
                    <a:blip r:embed="rId9"/>
                    <a:srcRect l="3414" t="35825" r="17705" b="8688"/>
                    <a:stretch>
                      <a:fillRect/>
                    </a:stretch>
                  </pic:blipFill>
                  <pic:spPr bwMode="auto">
                    <a:xfrm>
                      <a:off x="0" y="0"/>
                      <a:ext cx="6253653" cy="2988314"/>
                    </a:xfrm>
                    <a:prstGeom prst="rect">
                      <a:avLst/>
                    </a:prstGeom>
                    <a:ln>
                      <a:noFill/>
                    </a:ln>
                    <a:extLst>
                      <a:ext uri="{53640926-AAD7-44D8-BBD7-CCE9431645EC}">
                        <a14:shadowObscured xmlns:a14="http://schemas.microsoft.com/office/drawing/2010/main"/>
                      </a:ext>
                    </a:extLst>
                  </pic:spPr>
                </pic:pic>
              </a:graphicData>
            </a:graphic>
          </wp:inline>
        </w:drawing>
      </w:r>
    </w:p>
    <w:p w14:paraId="4A2193FA" w14:textId="77777777" w:rsidR="008519B6" w:rsidRPr="00F057FA" w:rsidRDefault="008519B6" w:rsidP="00F057FA">
      <w:pPr>
        <w:spacing w:after="0" w:line="240" w:lineRule="auto"/>
        <w:rPr>
          <w:rFonts w:ascii="Aptos" w:hAnsi="Aptos"/>
        </w:rPr>
      </w:pPr>
    </w:p>
    <w:p w14:paraId="58039D93" w14:textId="1195258C" w:rsidR="008519B6" w:rsidRPr="00F057FA" w:rsidRDefault="008519B6" w:rsidP="00F057FA">
      <w:pPr>
        <w:spacing w:after="0" w:line="240" w:lineRule="auto"/>
        <w:rPr>
          <w:rFonts w:ascii="Aptos" w:hAnsi="Aptos"/>
        </w:rPr>
      </w:pPr>
    </w:p>
    <w:p w14:paraId="1DC0F0D6" w14:textId="469C6CE8" w:rsidR="008519B6" w:rsidRPr="00F057FA" w:rsidRDefault="008519B6" w:rsidP="00F057FA">
      <w:pPr>
        <w:spacing w:after="0" w:line="240" w:lineRule="auto"/>
        <w:rPr>
          <w:rFonts w:ascii="Aptos" w:hAnsi="Aptos"/>
        </w:rPr>
      </w:pPr>
    </w:p>
    <w:p w14:paraId="0DE412D1" w14:textId="77777777" w:rsidR="008519B6" w:rsidRPr="00F057FA" w:rsidRDefault="008519B6" w:rsidP="00F057FA">
      <w:pPr>
        <w:pStyle w:val="Heading1"/>
        <w:spacing w:before="0" w:after="0" w:line="240" w:lineRule="auto"/>
        <w:rPr>
          <w:rFonts w:ascii="Aptos" w:hAnsi="Aptos"/>
        </w:rPr>
      </w:pPr>
      <w:bookmarkStart w:id="5" w:name="_Toc198627457"/>
      <w:r w:rsidRPr="00F057FA">
        <w:rPr>
          <w:rFonts w:ascii="Aptos" w:hAnsi="Aptos"/>
        </w:rPr>
        <w:t>Metric 1 &amp; 9 – Overall Disability Representation</w:t>
      </w:r>
      <w:bookmarkEnd w:id="5"/>
    </w:p>
    <w:p w14:paraId="3D47D0A8" w14:textId="2819A21E" w:rsidR="008519B6" w:rsidRPr="00F057FA" w:rsidRDefault="00816570" w:rsidP="00F057FA">
      <w:pPr>
        <w:spacing w:after="0" w:line="240" w:lineRule="auto"/>
        <w:rPr>
          <w:rFonts w:ascii="Aptos" w:hAnsi="Aptos" w:cs="Arial"/>
        </w:rPr>
      </w:pPr>
      <w:r w:rsidRPr="00F057FA">
        <w:rPr>
          <w:rFonts w:ascii="Aptos" w:hAnsi="Aptos" w:cs="Arial"/>
        </w:rPr>
        <w:t>Over the past three years, Sandwell and West Birmingham NHS Trust has consistently encouraged staff to declare disabilities. The chart below shows a steady rise in the number of employees choosing to disclose this information on the Electronic Staff Record, increasing from 2.8%  in 2021 to 4.8% in 2025.</w:t>
      </w:r>
    </w:p>
    <w:p w14:paraId="764CCF97" w14:textId="3167BD65" w:rsidR="00816570" w:rsidRPr="00F057FA" w:rsidRDefault="00816570" w:rsidP="00F057FA">
      <w:pPr>
        <w:spacing w:after="0" w:line="240" w:lineRule="auto"/>
        <w:rPr>
          <w:rFonts w:ascii="Aptos" w:hAnsi="Aptos" w:cs="Arial"/>
        </w:rPr>
      </w:pPr>
      <w:r w:rsidRPr="00F057FA">
        <w:rPr>
          <w:rFonts w:ascii="Aptos" w:hAnsi="Aptos"/>
          <w:noProof/>
        </w:rPr>
        <w:drawing>
          <wp:inline distT="0" distB="0" distL="0" distR="0" wp14:anchorId="5A44B206" wp14:editId="6CF906C7">
            <wp:extent cx="5731510" cy="3565525"/>
            <wp:effectExtent l="0" t="0" r="2540" b="15875"/>
            <wp:docPr id="928865473" name="Chart 1" descr="The chart shows a steady rise in the number of employees choosing to disclose this information on the Electronic Staff Record, increasing from 2.8%  in 2021 to 4.8% in 2025">
              <a:extLst xmlns:a="http://schemas.openxmlformats.org/drawingml/2006/main">
                <a:ext uri="{FF2B5EF4-FFF2-40B4-BE49-F238E27FC236}">
                  <a16:creationId xmlns:a16="http://schemas.microsoft.com/office/drawing/2014/main" id="{ADD4EB6E-75A0-8C0E-B58E-A671B81F6494}"/>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1C85CB" w14:textId="77777777" w:rsidR="008519B6" w:rsidRPr="00F057FA" w:rsidRDefault="008519B6" w:rsidP="00F057FA">
      <w:pPr>
        <w:pStyle w:val="Heading1"/>
        <w:spacing w:before="0" w:after="0" w:line="240" w:lineRule="auto"/>
        <w:rPr>
          <w:rFonts w:ascii="Aptos" w:hAnsi="Aptos"/>
        </w:rPr>
      </w:pPr>
      <w:bookmarkStart w:id="6" w:name="_Toc198627458"/>
      <w:r w:rsidRPr="00F057FA">
        <w:rPr>
          <w:rFonts w:ascii="Aptos" w:hAnsi="Aptos"/>
        </w:rPr>
        <w:lastRenderedPageBreak/>
        <w:t>Metric 1 – Disability Representation Across the Workforce</w:t>
      </w:r>
      <w:bookmarkEnd w:id="6"/>
    </w:p>
    <w:p w14:paraId="4DD63E04" w14:textId="77777777" w:rsidR="000F53A3" w:rsidRDefault="00816570" w:rsidP="00F057FA">
      <w:pPr>
        <w:spacing w:after="0" w:line="240" w:lineRule="auto"/>
        <w:rPr>
          <w:rFonts w:ascii="Aptos" w:hAnsi="Aptos" w:cs="Arial"/>
        </w:rPr>
      </w:pPr>
      <w:r w:rsidRPr="00F057FA">
        <w:rPr>
          <w:rFonts w:ascii="Aptos" w:hAnsi="Aptos" w:cs="Arial"/>
        </w:rPr>
        <w:t>Tracking disability representation across different pay bands within the NHS is essential to promoting fair career progression and equal opportunities for staff with disabilities. By monitoring this data, the organisation can uncover disparities, implement targeted support, and remove barriers that may hinder advancement at any level. This type of analysis plays a vital role in creating an inclusive and equitable workplace where all employees—regardless of disability—can access opportunities for growth and development.</w:t>
      </w:r>
    </w:p>
    <w:p w14:paraId="2163F5D3" w14:textId="76985A89" w:rsidR="00816570" w:rsidRPr="00F057FA" w:rsidRDefault="00816570" w:rsidP="00F057FA">
      <w:pPr>
        <w:spacing w:after="0" w:line="240" w:lineRule="auto"/>
        <w:rPr>
          <w:rFonts w:ascii="Aptos" w:hAnsi="Aptos"/>
        </w:rPr>
      </w:pPr>
      <w:r w:rsidRPr="00F057FA">
        <w:rPr>
          <w:rFonts w:ascii="Aptos" w:hAnsi="Aptos" w:cs="Arial"/>
        </w:rPr>
        <w:br/>
        <w:t xml:space="preserve">The graph below illustrates how staff with disabilities are distributed across the various pay bands at Sandwell and West Birmingham NHS Trust </w:t>
      </w:r>
    </w:p>
    <w:p w14:paraId="6BE0F428" w14:textId="6E681C9F" w:rsidR="008519B6" w:rsidRPr="00F057FA" w:rsidRDefault="00816570" w:rsidP="00F057FA">
      <w:pPr>
        <w:spacing w:after="0" w:line="240" w:lineRule="auto"/>
        <w:rPr>
          <w:rFonts w:ascii="Aptos" w:hAnsi="Aptos"/>
        </w:rPr>
      </w:pPr>
      <w:r w:rsidRPr="00F057FA">
        <w:rPr>
          <w:rFonts w:ascii="Aptos" w:hAnsi="Aptos"/>
          <w:noProof/>
        </w:rPr>
        <w:drawing>
          <wp:inline distT="0" distB="0" distL="0" distR="0" wp14:anchorId="2B1EFB52" wp14:editId="40EF4261">
            <wp:extent cx="5731510" cy="4168140"/>
            <wp:effectExtent l="0" t="0" r="2540" b="3810"/>
            <wp:docPr id="2126800796" name="Chart 1" descr="Bar chart titled “Percentage Representation – by Pay Grade,” showing disability status representation across NHS pay grades. Each pay grade has three stacked segments representing:&#10;&#10;Disabled (orange)&#10;&#10;Not Disabled (dark blue)&#10;&#10;Not Declared (green)">
              <a:extLst xmlns:a="http://schemas.openxmlformats.org/drawingml/2006/main">
                <a:ext uri="{FF2B5EF4-FFF2-40B4-BE49-F238E27FC236}">
                  <a16:creationId xmlns:a16="http://schemas.microsoft.com/office/drawing/2014/main" id="{CC5CC645-9085-5658-49D6-DB2019FC5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286A54" w14:textId="77777777" w:rsidR="000F53A3" w:rsidRDefault="000F53A3" w:rsidP="00F057FA">
      <w:pPr>
        <w:spacing w:after="0" w:line="240" w:lineRule="auto"/>
        <w:rPr>
          <w:rFonts w:ascii="Aptos" w:hAnsi="Aptos" w:cs="Arial"/>
        </w:rPr>
      </w:pPr>
    </w:p>
    <w:p w14:paraId="3CB7C5A3" w14:textId="2AFFB751" w:rsidR="000F53A3" w:rsidRDefault="00816570" w:rsidP="00F057FA">
      <w:pPr>
        <w:spacing w:after="0" w:line="240" w:lineRule="auto"/>
        <w:rPr>
          <w:rFonts w:ascii="Aptos" w:hAnsi="Aptos" w:cs="Arial"/>
        </w:rPr>
      </w:pPr>
      <w:r w:rsidRPr="00F057FA">
        <w:rPr>
          <w:rFonts w:ascii="Aptos" w:hAnsi="Aptos" w:cs="Arial"/>
        </w:rPr>
        <w:t xml:space="preserve">The data highlights that disabled colleagues are evenly represented in </w:t>
      </w:r>
      <w:r w:rsidR="0025308C" w:rsidRPr="00F057FA">
        <w:rPr>
          <w:rFonts w:ascii="Aptos" w:hAnsi="Aptos" w:cs="Arial"/>
        </w:rPr>
        <w:t xml:space="preserve">the </w:t>
      </w:r>
      <w:r w:rsidRPr="00F057FA">
        <w:rPr>
          <w:rFonts w:ascii="Aptos" w:hAnsi="Aptos" w:cs="Arial"/>
        </w:rPr>
        <w:t xml:space="preserve">AFC pay scales 2-8c. While disability representation is more visible in the lower pay bands, it decreases significantly at senior levels, a situation worsened by </w:t>
      </w:r>
      <w:r w:rsidR="0025308C" w:rsidRPr="00F057FA">
        <w:rPr>
          <w:rFonts w:ascii="Aptos" w:hAnsi="Aptos" w:cs="Arial"/>
        </w:rPr>
        <w:t>many</w:t>
      </w:r>
      <w:r w:rsidRPr="00F057FA">
        <w:rPr>
          <w:rFonts w:ascii="Aptos" w:hAnsi="Aptos" w:cs="Arial"/>
        </w:rPr>
        <w:t xml:space="preserve"> 'Not Stated/Unknown' responses among higher grades.</w:t>
      </w:r>
    </w:p>
    <w:p w14:paraId="040D986F" w14:textId="66894F65" w:rsidR="00816570" w:rsidRPr="00F057FA" w:rsidRDefault="00816570" w:rsidP="00F057FA">
      <w:pPr>
        <w:spacing w:after="0" w:line="240" w:lineRule="auto"/>
        <w:rPr>
          <w:rFonts w:ascii="Aptos" w:hAnsi="Aptos" w:cs="Arial"/>
        </w:rPr>
      </w:pPr>
      <w:r w:rsidRPr="00F057FA">
        <w:rPr>
          <w:rFonts w:ascii="Aptos" w:hAnsi="Aptos" w:cs="Arial"/>
        </w:rPr>
        <w:br/>
        <w:t xml:space="preserve">This pattern suggests either a barrier to career progression for staff with disabilities or a hesitancy to disclose disability status as employees advance into senior roles. It underscores </w:t>
      </w:r>
      <w:r w:rsidR="0025308C" w:rsidRPr="00F057FA">
        <w:rPr>
          <w:rFonts w:ascii="Aptos" w:hAnsi="Aptos" w:cs="Arial"/>
        </w:rPr>
        <w:t xml:space="preserve">a requirement </w:t>
      </w:r>
      <w:r w:rsidRPr="00F057FA">
        <w:rPr>
          <w:rFonts w:ascii="Aptos" w:hAnsi="Aptos" w:cs="Arial"/>
        </w:rPr>
        <w:t xml:space="preserve">for focused efforts to increase disclosure rates and promote fairness in career development and leadership opportunities, ensuring that promotion </w:t>
      </w:r>
      <w:r w:rsidRPr="00F057FA">
        <w:rPr>
          <w:rFonts w:ascii="Aptos" w:hAnsi="Aptos" w:cs="Arial"/>
        </w:rPr>
        <w:lastRenderedPageBreak/>
        <w:t xml:space="preserve">processes are genuinely inclusive and that talented individuals are supported and retained at all levels of the </w:t>
      </w:r>
      <w:r w:rsidR="0025308C" w:rsidRPr="00F057FA">
        <w:rPr>
          <w:rFonts w:ascii="Aptos" w:hAnsi="Aptos" w:cs="Arial"/>
        </w:rPr>
        <w:t>organisation</w:t>
      </w:r>
      <w:r w:rsidRPr="00F057FA">
        <w:rPr>
          <w:rFonts w:ascii="Aptos" w:hAnsi="Aptos" w:cs="Arial"/>
        </w:rPr>
        <w:t>.</w:t>
      </w:r>
    </w:p>
    <w:p w14:paraId="35781DFF" w14:textId="77777777" w:rsidR="008519B6" w:rsidRPr="00F057FA" w:rsidRDefault="008519B6" w:rsidP="00F057FA">
      <w:pPr>
        <w:spacing w:after="0" w:line="240" w:lineRule="auto"/>
        <w:rPr>
          <w:rFonts w:ascii="Aptos" w:hAnsi="Aptos"/>
        </w:rPr>
      </w:pPr>
    </w:p>
    <w:p w14:paraId="5C237F19" w14:textId="77777777" w:rsidR="008519B6" w:rsidRPr="00F057FA" w:rsidRDefault="008519B6" w:rsidP="00F057FA">
      <w:pPr>
        <w:pStyle w:val="Heading1"/>
        <w:spacing w:before="0" w:after="0" w:line="240" w:lineRule="auto"/>
        <w:rPr>
          <w:rFonts w:ascii="Aptos" w:hAnsi="Aptos"/>
        </w:rPr>
      </w:pPr>
      <w:bookmarkStart w:id="7" w:name="_Toc198627459"/>
      <w:r w:rsidRPr="00F057FA">
        <w:rPr>
          <w:rFonts w:ascii="Aptos" w:hAnsi="Aptos"/>
        </w:rPr>
        <w:t>Metric 2 – Relative likelihood of non-disabled staff being appointed from shortlisting compared to Disabled staff</w:t>
      </w:r>
      <w:bookmarkEnd w:id="7"/>
    </w:p>
    <w:tbl>
      <w:tblPr>
        <w:tblpPr w:leftFromText="180" w:rightFromText="180" w:vertAnchor="text" w:horzAnchor="margin" w:tblpY="1614"/>
        <w:tblW w:w="9986" w:type="dxa"/>
        <w:tblLook w:val="04A0" w:firstRow="1" w:lastRow="0" w:firstColumn="1" w:lastColumn="0" w:noHBand="0" w:noVBand="1"/>
      </w:tblPr>
      <w:tblGrid>
        <w:gridCol w:w="4623"/>
        <w:gridCol w:w="1232"/>
        <w:gridCol w:w="1111"/>
        <w:gridCol w:w="1921"/>
        <w:gridCol w:w="1099"/>
      </w:tblGrid>
      <w:tr w:rsidR="0025308C" w:rsidRPr="00F057FA" w14:paraId="3773198E" w14:textId="77777777" w:rsidTr="0025308C">
        <w:trPr>
          <w:trHeight w:val="235"/>
        </w:trPr>
        <w:tc>
          <w:tcPr>
            <w:tcW w:w="4623" w:type="dxa"/>
            <w:tcBorders>
              <w:top w:val="nil"/>
              <w:left w:val="nil"/>
              <w:bottom w:val="nil"/>
              <w:right w:val="nil"/>
            </w:tcBorders>
            <w:noWrap/>
            <w:vAlign w:val="bottom"/>
            <w:hideMark/>
          </w:tcPr>
          <w:p w14:paraId="372E3853" w14:textId="77777777" w:rsidR="0025308C" w:rsidRPr="00F057FA" w:rsidRDefault="0025308C" w:rsidP="00F057FA">
            <w:pPr>
              <w:spacing w:after="0" w:line="240" w:lineRule="auto"/>
              <w:rPr>
                <w:rFonts w:ascii="Aptos" w:eastAsia="Times New Roman" w:hAnsi="Aptos" w:cs="Times New Roman"/>
                <w:kern w:val="0"/>
                <w:lang w:eastAsia="en-GB"/>
                <w14:ligatures w14:val="none"/>
              </w:rPr>
            </w:pPr>
          </w:p>
        </w:tc>
        <w:tc>
          <w:tcPr>
            <w:tcW w:w="1232" w:type="dxa"/>
            <w:tcBorders>
              <w:top w:val="nil"/>
              <w:left w:val="nil"/>
              <w:bottom w:val="nil"/>
              <w:right w:val="nil"/>
            </w:tcBorders>
            <w:noWrap/>
            <w:vAlign w:val="bottom"/>
            <w:hideMark/>
          </w:tcPr>
          <w:p w14:paraId="0333A6B7" w14:textId="77777777" w:rsidR="0025308C" w:rsidRPr="00F057FA" w:rsidRDefault="0025308C" w:rsidP="00F057FA">
            <w:pPr>
              <w:spacing w:after="0" w:line="240" w:lineRule="auto"/>
              <w:rPr>
                <w:rFonts w:ascii="Aptos" w:eastAsia="Times New Roman" w:hAnsi="Aptos" w:cs="Times New Roman"/>
                <w:kern w:val="0"/>
                <w:sz w:val="20"/>
                <w:szCs w:val="20"/>
                <w:lang w:eastAsia="en-GB"/>
                <w14:ligatures w14:val="none"/>
              </w:rPr>
            </w:pPr>
          </w:p>
        </w:tc>
        <w:tc>
          <w:tcPr>
            <w:tcW w:w="1111" w:type="dxa"/>
            <w:tcBorders>
              <w:top w:val="nil"/>
              <w:left w:val="nil"/>
              <w:bottom w:val="nil"/>
              <w:right w:val="nil"/>
            </w:tcBorders>
            <w:noWrap/>
            <w:vAlign w:val="bottom"/>
            <w:hideMark/>
          </w:tcPr>
          <w:p w14:paraId="6F8F76CC" w14:textId="77777777" w:rsidR="0025308C" w:rsidRPr="00F057FA" w:rsidRDefault="0025308C" w:rsidP="00F057FA">
            <w:pPr>
              <w:spacing w:after="0" w:line="240" w:lineRule="auto"/>
              <w:rPr>
                <w:rFonts w:ascii="Aptos" w:eastAsia="Times New Roman" w:hAnsi="Aptos" w:cs="Times New Roman"/>
                <w:kern w:val="0"/>
                <w:sz w:val="20"/>
                <w:szCs w:val="20"/>
                <w:lang w:eastAsia="en-GB"/>
                <w14:ligatures w14:val="none"/>
              </w:rPr>
            </w:pPr>
          </w:p>
        </w:tc>
        <w:tc>
          <w:tcPr>
            <w:tcW w:w="1921" w:type="dxa"/>
            <w:tcBorders>
              <w:top w:val="nil"/>
              <w:left w:val="nil"/>
              <w:bottom w:val="nil"/>
              <w:right w:val="nil"/>
            </w:tcBorders>
            <w:noWrap/>
            <w:vAlign w:val="bottom"/>
            <w:hideMark/>
          </w:tcPr>
          <w:p w14:paraId="6DCD526A" w14:textId="77777777" w:rsidR="0025308C" w:rsidRPr="00F057FA" w:rsidRDefault="0025308C" w:rsidP="00F057FA">
            <w:pPr>
              <w:spacing w:after="0" w:line="240" w:lineRule="auto"/>
              <w:rPr>
                <w:rFonts w:ascii="Aptos" w:eastAsia="Times New Roman" w:hAnsi="Aptos" w:cs="Times New Roman"/>
                <w:kern w:val="0"/>
                <w:sz w:val="20"/>
                <w:szCs w:val="20"/>
                <w:lang w:eastAsia="en-GB"/>
                <w14:ligatures w14:val="none"/>
              </w:rPr>
            </w:pPr>
          </w:p>
        </w:tc>
        <w:tc>
          <w:tcPr>
            <w:tcW w:w="1099" w:type="dxa"/>
            <w:tcBorders>
              <w:top w:val="nil"/>
              <w:left w:val="nil"/>
              <w:bottom w:val="nil"/>
              <w:right w:val="nil"/>
            </w:tcBorders>
            <w:noWrap/>
            <w:vAlign w:val="bottom"/>
            <w:hideMark/>
          </w:tcPr>
          <w:p w14:paraId="78DFA969" w14:textId="77777777" w:rsidR="0025308C" w:rsidRPr="00F057FA" w:rsidRDefault="0025308C" w:rsidP="00F057FA">
            <w:pPr>
              <w:spacing w:after="0" w:line="240" w:lineRule="auto"/>
              <w:rPr>
                <w:rFonts w:ascii="Aptos" w:eastAsia="Times New Roman" w:hAnsi="Aptos" w:cs="Times New Roman"/>
                <w:kern w:val="0"/>
                <w:sz w:val="20"/>
                <w:szCs w:val="20"/>
                <w:lang w:eastAsia="en-GB"/>
                <w14:ligatures w14:val="none"/>
              </w:rPr>
            </w:pPr>
          </w:p>
        </w:tc>
      </w:tr>
      <w:tr w:rsidR="0025308C" w:rsidRPr="00F057FA" w14:paraId="285ECCC8" w14:textId="77777777" w:rsidTr="0025308C">
        <w:trPr>
          <w:trHeight w:val="706"/>
        </w:trPr>
        <w:tc>
          <w:tcPr>
            <w:tcW w:w="4623" w:type="dxa"/>
            <w:tcBorders>
              <w:top w:val="single" w:sz="4" w:space="0" w:color="auto"/>
              <w:left w:val="single" w:sz="4" w:space="0" w:color="auto"/>
              <w:bottom w:val="single" w:sz="4" w:space="0" w:color="auto"/>
              <w:right w:val="single" w:sz="4" w:space="0" w:color="auto"/>
            </w:tcBorders>
            <w:shd w:val="clear" w:color="000000" w:fill="005EB8"/>
            <w:noWrap/>
            <w:vAlign w:val="center"/>
            <w:hideMark/>
          </w:tcPr>
          <w:p w14:paraId="55A83287" w14:textId="77777777" w:rsidR="0025308C" w:rsidRPr="00F057FA" w:rsidRDefault="0025308C" w:rsidP="00F057FA">
            <w:pPr>
              <w:spacing w:after="0" w:line="240" w:lineRule="auto"/>
              <w:jc w:val="both"/>
              <w:rPr>
                <w:rFonts w:ascii="Aptos" w:eastAsia="Times New Roman" w:hAnsi="Aptos" w:cs="Times New Roman"/>
                <w:b/>
                <w:bCs/>
                <w:color w:val="FFFFFF"/>
                <w:kern w:val="0"/>
                <w:sz w:val="22"/>
                <w:szCs w:val="22"/>
                <w:lang w:eastAsia="en-GB"/>
                <w14:ligatures w14:val="none"/>
              </w:rPr>
            </w:pPr>
            <w:r w:rsidRPr="00F057FA">
              <w:rPr>
                <w:rFonts w:ascii="Aptos" w:eastAsia="Times New Roman" w:hAnsi="Aptos" w:cs="Times New Roman"/>
                <w:b/>
                <w:bCs/>
                <w:color w:val="FFFFFF"/>
                <w:kern w:val="0"/>
                <w:sz w:val="22"/>
                <w:szCs w:val="22"/>
                <w:lang w:eastAsia="en-GB"/>
                <w14:ligatures w14:val="none"/>
              </w:rPr>
              <w:t>Values</w:t>
            </w:r>
          </w:p>
        </w:tc>
        <w:tc>
          <w:tcPr>
            <w:tcW w:w="1232" w:type="dxa"/>
            <w:tcBorders>
              <w:top w:val="single" w:sz="4" w:space="0" w:color="auto"/>
              <w:left w:val="nil"/>
              <w:bottom w:val="single" w:sz="4" w:space="0" w:color="auto"/>
              <w:right w:val="single" w:sz="4" w:space="0" w:color="auto"/>
            </w:tcBorders>
            <w:shd w:val="clear" w:color="000000" w:fill="005EB8"/>
            <w:noWrap/>
            <w:vAlign w:val="center"/>
            <w:hideMark/>
          </w:tcPr>
          <w:p w14:paraId="30A74BFF" w14:textId="77777777" w:rsidR="0025308C" w:rsidRPr="00F057FA" w:rsidRDefault="0025308C" w:rsidP="00F057FA">
            <w:pPr>
              <w:spacing w:after="0" w:line="240" w:lineRule="auto"/>
              <w:jc w:val="both"/>
              <w:rPr>
                <w:rFonts w:ascii="Aptos" w:eastAsia="Times New Roman" w:hAnsi="Aptos" w:cs="Times New Roman"/>
                <w:b/>
                <w:bCs/>
                <w:color w:val="FFFFFF"/>
                <w:kern w:val="0"/>
                <w:sz w:val="22"/>
                <w:szCs w:val="22"/>
                <w:lang w:eastAsia="en-GB"/>
                <w14:ligatures w14:val="none"/>
              </w:rPr>
            </w:pPr>
            <w:r w:rsidRPr="00F057FA">
              <w:rPr>
                <w:rFonts w:ascii="Aptos" w:eastAsia="Times New Roman" w:hAnsi="Aptos" w:cs="Times New Roman"/>
                <w:b/>
                <w:bCs/>
                <w:color w:val="FFFFFF"/>
                <w:kern w:val="0"/>
                <w:sz w:val="22"/>
                <w:szCs w:val="22"/>
                <w:lang w:eastAsia="en-GB"/>
                <w14:ligatures w14:val="none"/>
              </w:rPr>
              <w:t>Non-Disabled</w:t>
            </w:r>
          </w:p>
        </w:tc>
        <w:tc>
          <w:tcPr>
            <w:tcW w:w="1111" w:type="dxa"/>
            <w:tcBorders>
              <w:top w:val="single" w:sz="4" w:space="0" w:color="auto"/>
              <w:left w:val="nil"/>
              <w:bottom w:val="single" w:sz="4" w:space="0" w:color="auto"/>
              <w:right w:val="single" w:sz="4" w:space="0" w:color="auto"/>
            </w:tcBorders>
            <w:shd w:val="clear" w:color="000000" w:fill="005EB8"/>
            <w:noWrap/>
            <w:vAlign w:val="center"/>
            <w:hideMark/>
          </w:tcPr>
          <w:p w14:paraId="1D1B3F25" w14:textId="77777777" w:rsidR="0025308C" w:rsidRPr="00F057FA" w:rsidRDefault="0025308C" w:rsidP="00F057FA">
            <w:pPr>
              <w:spacing w:after="0" w:line="240" w:lineRule="auto"/>
              <w:jc w:val="both"/>
              <w:rPr>
                <w:rFonts w:ascii="Aptos" w:eastAsia="Times New Roman" w:hAnsi="Aptos" w:cs="Times New Roman"/>
                <w:b/>
                <w:bCs/>
                <w:color w:val="FFFFFF"/>
                <w:kern w:val="0"/>
                <w:sz w:val="22"/>
                <w:szCs w:val="22"/>
                <w:lang w:eastAsia="en-GB"/>
                <w14:ligatures w14:val="none"/>
              </w:rPr>
            </w:pPr>
            <w:r w:rsidRPr="00F057FA">
              <w:rPr>
                <w:rFonts w:ascii="Aptos" w:eastAsia="Times New Roman" w:hAnsi="Aptos" w:cs="Times New Roman"/>
                <w:b/>
                <w:bCs/>
                <w:color w:val="FFFFFF"/>
                <w:kern w:val="0"/>
                <w:sz w:val="22"/>
                <w:szCs w:val="22"/>
                <w:lang w:eastAsia="en-GB"/>
                <w14:ligatures w14:val="none"/>
              </w:rPr>
              <w:t>Disabled</w:t>
            </w:r>
          </w:p>
        </w:tc>
        <w:tc>
          <w:tcPr>
            <w:tcW w:w="1921" w:type="dxa"/>
            <w:tcBorders>
              <w:top w:val="single" w:sz="4" w:space="0" w:color="auto"/>
              <w:left w:val="nil"/>
              <w:bottom w:val="single" w:sz="4" w:space="0" w:color="auto"/>
              <w:right w:val="single" w:sz="4" w:space="0" w:color="auto"/>
            </w:tcBorders>
            <w:shd w:val="clear" w:color="000000" w:fill="005EB8"/>
            <w:noWrap/>
            <w:vAlign w:val="center"/>
            <w:hideMark/>
          </w:tcPr>
          <w:p w14:paraId="39522930" w14:textId="77777777" w:rsidR="0025308C" w:rsidRPr="00F057FA" w:rsidRDefault="0025308C" w:rsidP="00F057FA">
            <w:pPr>
              <w:spacing w:after="0" w:line="240" w:lineRule="auto"/>
              <w:jc w:val="both"/>
              <w:rPr>
                <w:rFonts w:ascii="Aptos" w:eastAsia="Times New Roman" w:hAnsi="Aptos" w:cs="Times New Roman"/>
                <w:b/>
                <w:bCs/>
                <w:color w:val="FFFFFF"/>
                <w:kern w:val="0"/>
                <w:sz w:val="22"/>
                <w:szCs w:val="22"/>
                <w:lang w:eastAsia="en-GB"/>
                <w14:ligatures w14:val="none"/>
              </w:rPr>
            </w:pPr>
            <w:r w:rsidRPr="00F057FA">
              <w:rPr>
                <w:rFonts w:ascii="Aptos" w:eastAsia="Times New Roman" w:hAnsi="Aptos" w:cs="Times New Roman"/>
                <w:b/>
                <w:bCs/>
                <w:color w:val="FFFFFF"/>
                <w:kern w:val="0"/>
                <w:sz w:val="22"/>
                <w:szCs w:val="22"/>
                <w:lang w:eastAsia="en-GB"/>
                <w14:ligatures w14:val="none"/>
              </w:rPr>
              <w:t>Unknown / Not stated</w:t>
            </w:r>
          </w:p>
        </w:tc>
        <w:tc>
          <w:tcPr>
            <w:tcW w:w="1099" w:type="dxa"/>
            <w:tcBorders>
              <w:top w:val="single" w:sz="4" w:space="0" w:color="auto"/>
              <w:left w:val="nil"/>
              <w:bottom w:val="single" w:sz="4" w:space="0" w:color="auto"/>
              <w:right w:val="single" w:sz="4" w:space="0" w:color="auto"/>
            </w:tcBorders>
            <w:shd w:val="clear" w:color="000000" w:fill="005EB8"/>
            <w:noWrap/>
            <w:vAlign w:val="center"/>
            <w:hideMark/>
          </w:tcPr>
          <w:p w14:paraId="2002D980" w14:textId="77777777" w:rsidR="0025308C" w:rsidRPr="00F057FA" w:rsidRDefault="0025308C" w:rsidP="00F057FA">
            <w:pPr>
              <w:spacing w:after="0" w:line="240" w:lineRule="auto"/>
              <w:jc w:val="both"/>
              <w:rPr>
                <w:rFonts w:ascii="Aptos" w:eastAsia="Times New Roman" w:hAnsi="Aptos" w:cs="Times New Roman"/>
                <w:b/>
                <w:bCs/>
                <w:color w:val="FFFFFF"/>
                <w:kern w:val="0"/>
                <w:sz w:val="22"/>
                <w:szCs w:val="22"/>
                <w:lang w:eastAsia="en-GB"/>
                <w14:ligatures w14:val="none"/>
              </w:rPr>
            </w:pPr>
            <w:r w:rsidRPr="00F057FA">
              <w:rPr>
                <w:rFonts w:ascii="Aptos" w:eastAsia="Times New Roman" w:hAnsi="Aptos" w:cs="Times New Roman"/>
                <w:b/>
                <w:bCs/>
                <w:color w:val="FFFFFF"/>
                <w:kern w:val="0"/>
                <w:sz w:val="22"/>
                <w:szCs w:val="22"/>
                <w:lang w:eastAsia="en-GB"/>
                <w14:ligatures w14:val="none"/>
              </w:rPr>
              <w:t>Grand Total</w:t>
            </w:r>
          </w:p>
        </w:tc>
      </w:tr>
      <w:tr w:rsidR="0025308C" w:rsidRPr="00F057FA" w14:paraId="4236739B" w14:textId="77777777" w:rsidTr="0025308C">
        <w:trPr>
          <w:trHeight w:val="235"/>
        </w:trPr>
        <w:tc>
          <w:tcPr>
            <w:tcW w:w="4623" w:type="dxa"/>
            <w:tcBorders>
              <w:top w:val="nil"/>
              <w:left w:val="single" w:sz="4" w:space="0" w:color="auto"/>
              <w:bottom w:val="single" w:sz="4" w:space="0" w:color="auto"/>
              <w:right w:val="single" w:sz="4" w:space="0" w:color="auto"/>
            </w:tcBorders>
            <w:vAlign w:val="center"/>
            <w:hideMark/>
          </w:tcPr>
          <w:p w14:paraId="57E2E0DB"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Number of Shortlisted Applicants</w:t>
            </w:r>
          </w:p>
        </w:tc>
        <w:tc>
          <w:tcPr>
            <w:tcW w:w="1232" w:type="dxa"/>
            <w:tcBorders>
              <w:top w:val="nil"/>
              <w:left w:val="nil"/>
              <w:bottom w:val="single" w:sz="4" w:space="0" w:color="auto"/>
              <w:right w:val="single" w:sz="4" w:space="0" w:color="auto"/>
            </w:tcBorders>
            <w:noWrap/>
            <w:vAlign w:val="center"/>
            <w:hideMark/>
          </w:tcPr>
          <w:p w14:paraId="35D92759"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7175</w:t>
            </w:r>
          </w:p>
        </w:tc>
        <w:tc>
          <w:tcPr>
            <w:tcW w:w="1111" w:type="dxa"/>
            <w:tcBorders>
              <w:top w:val="nil"/>
              <w:left w:val="nil"/>
              <w:bottom w:val="single" w:sz="4" w:space="0" w:color="auto"/>
              <w:right w:val="single" w:sz="4" w:space="0" w:color="auto"/>
            </w:tcBorders>
            <w:noWrap/>
            <w:vAlign w:val="center"/>
            <w:hideMark/>
          </w:tcPr>
          <w:p w14:paraId="66C7497C"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479</w:t>
            </w:r>
          </w:p>
        </w:tc>
        <w:tc>
          <w:tcPr>
            <w:tcW w:w="1921" w:type="dxa"/>
            <w:tcBorders>
              <w:top w:val="nil"/>
              <w:left w:val="nil"/>
              <w:bottom w:val="single" w:sz="4" w:space="0" w:color="auto"/>
              <w:right w:val="single" w:sz="4" w:space="0" w:color="auto"/>
            </w:tcBorders>
            <w:noWrap/>
            <w:vAlign w:val="center"/>
            <w:hideMark/>
          </w:tcPr>
          <w:p w14:paraId="065B172E"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184</w:t>
            </w:r>
          </w:p>
        </w:tc>
        <w:tc>
          <w:tcPr>
            <w:tcW w:w="1099" w:type="dxa"/>
            <w:tcBorders>
              <w:top w:val="nil"/>
              <w:left w:val="nil"/>
              <w:bottom w:val="single" w:sz="4" w:space="0" w:color="auto"/>
              <w:right w:val="single" w:sz="4" w:space="0" w:color="auto"/>
            </w:tcBorders>
            <w:noWrap/>
            <w:vAlign w:val="center"/>
            <w:hideMark/>
          </w:tcPr>
          <w:p w14:paraId="6F950039"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7838</w:t>
            </w:r>
          </w:p>
        </w:tc>
      </w:tr>
      <w:tr w:rsidR="0025308C" w:rsidRPr="00F057FA" w14:paraId="44DB78F7" w14:textId="77777777" w:rsidTr="0025308C">
        <w:trPr>
          <w:trHeight w:val="235"/>
        </w:trPr>
        <w:tc>
          <w:tcPr>
            <w:tcW w:w="4623" w:type="dxa"/>
            <w:tcBorders>
              <w:top w:val="nil"/>
              <w:left w:val="single" w:sz="4" w:space="0" w:color="auto"/>
              <w:bottom w:val="single" w:sz="4" w:space="0" w:color="auto"/>
              <w:right w:val="single" w:sz="4" w:space="0" w:color="auto"/>
            </w:tcBorders>
            <w:vAlign w:val="center"/>
            <w:hideMark/>
          </w:tcPr>
          <w:p w14:paraId="3DFDE68A"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Number Appointed from Shortlisting</w:t>
            </w:r>
          </w:p>
        </w:tc>
        <w:tc>
          <w:tcPr>
            <w:tcW w:w="1232" w:type="dxa"/>
            <w:tcBorders>
              <w:top w:val="nil"/>
              <w:left w:val="nil"/>
              <w:bottom w:val="single" w:sz="4" w:space="0" w:color="auto"/>
              <w:right w:val="single" w:sz="4" w:space="0" w:color="auto"/>
            </w:tcBorders>
            <w:noWrap/>
            <w:vAlign w:val="center"/>
            <w:hideMark/>
          </w:tcPr>
          <w:p w14:paraId="5081FED1"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1080</w:t>
            </w:r>
          </w:p>
        </w:tc>
        <w:tc>
          <w:tcPr>
            <w:tcW w:w="1111" w:type="dxa"/>
            <w:tcBorders>
              <w:top w:val="nil"/>
              <w:left w:val="nil"/>
              <w:bottom w:val="single" w:sz="4" w:space="0" w:color="auto"/>
              <w:right w:val="single" w:sz="4" w:space="0" w:color="auto"/>
            </w:tcBorders>
            <w:noWrap/>
            <w:vAlign w:val="center"/>
            <w:hideMark/>
          </w:tcPr>
          <w:p w14:paraId="26198B18"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68</w:t>
            </w:r>
          </w:p>
        </w:tc>
        <w:tc>
          <w:tcPr>
            <w:tcW w:w="1921" w:type="dxa"/>
            <w:tcBorders>
              <w:top w:val="nil"/>
              <w:left w:val="nil"/>
              <w:bottom w:val="single" w:sz="4" w:space="0" w:color="auto"/>
              <w:right w:val="single" w:sz="4" w:space="0" w:color="auto"/>
            </w:tcBorders>
            <w:noWrap/>
            <w:vAlign w:val="center"/>
            <w:hideMark/>
          </w:tcPr>
          <w:p w14:paraId="3CF9D22A"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43</w:t>
            </w:r>
          </w:p>
        </w:tc>
        <w:tc>
          <w:tcPr>
            <w:tcW w:w="1099" w:type="dxa"/>
            <w:tcBorders>
              <w:top w:val="nil"/>
              <w:left w:val="nil"/>
              <w:bottom w:val="single" w:sz="4" w:space="0" w:color="auto"/>
              <w:right w:val="single" w:sz="4" w:space="0" w:color="auto"/>
            </w:tcBorders>
            <w:noWrap/>
            <w:vAlign w:val="center"/>
            <w:hideMark/>
          </w:tcPr>
          <w:p w14:paraId="570062CF" w14:textId="77777777" w:rsidR="0025308C" w:rsidRPr="00F057FA" w:rsidRDefault="0025308C" w:rsidP="00F057FA">
            <w:pPr>
              <w:spacing w:after="0" w:line="240" w:lineRule="auto"/>
              <w:jc w:val="both"/>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1191</w:t>
            </w:r>
          </w:p>
        </w:tc>
      </w:tr>
      <w:tr w:rsidR="0025308C" w:rsidRPr="00F057FA" w14:paraId="186F0649" w14:textId="77777777" w:rsidTr="0025308C">
        <w:trPr>
          <w:trHeight w:val="470"/>
        </w:trPr>
        <w:tc>
          <w:tcPr>
            <w:tcW w:w="4623" w:type="dxa"/>
            <w:tcBorders>
              <w:top w:val="nil"/>
              <w:left w:val="single" w:sz="4" w:space="0" w:color="auto"/>
              <w:bottom w:val="single" w:sz="4" w:space="0" w:color="auto"/>
              <w:right w:val="single" w:sz="4" w:space="0" w:color="auto"/>
            </w:tcBorders>
            <w:vAlign w:val="center"/>
            <w:hideMark/>
          </w:tcPr>
          <w:p w14:paraId="32BC666F"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 xml:space="preserve">Relative Likelihood of appointment from shortlisting </w:t>
            </w:r>
          </w:p>
        </w:tc>
        <w:tc>
          <w:tcPr>
            <w:tcW w:w="1232" w:type="dxa"/>
            <w:tcBorders>
              <w:top w:val="nil"/>
              <w:left w:val="nil"/>
              <w:bottom w:val="single" w:sz="4" w:space="0" w:color="auto"/>
              <w:right w:val="single" w:sz="4" w:space="0" w:color="auto"/>
            </w:tcBorders>
            <w:noWrap/>
            <w:vAlign w:val="center"/>
            <w:hideMark/>
          </w:tcPr>
          <w:p w14:paraId="00B28DD7"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15.1%</w:t>
            </w:r>
          </w:p>
        </w:tc>
        <w:tc>
          <w:tcPr>
            <w:tcW w:w="1111" w:type="dxa"/>
            <w:tcBorders>
              <w:top w:val="nil"/>
              <w:left w:val="nil"/>
              <w:bottom w:val="single" w:sz="4" w:space="0" w:color="auto"/>
              <w:right w:val="single" w:sz="4" w:space="0" w:color="auto"/>
            </w:tcBorders>
            <w:noWrap/>
            <w:vAlign w:val="center"/>
            <w:hideMark/>
          </w:tcPr>
          <w:p w14:paraId="5CF81897"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14.2%</w:t>
            </w:r>
          </w:p>
        </w:tc>
        <w:tc>
          <w:tcPr>
            <w:tcW w:w="1921" w:type="dxa"/>
            <w:tcBorders>
              <w:top w:val="nil"/>
              <w:left w:val="nil"/>
              <w:bottom w:val="single" w:sz="4" w:space="0" w:color="auto"/>
              <w:right w:val="single" w:sz="4" w:space="0" w:color="auto"/>
            </w:tcBorders>
            <w:noWrap/>
            <w:vAlign w:val="center"/>
            <w:hideMark/>
          </w:tcPr>
          <w:p w14:paraId="34D44E7F"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23.4%</w:t>
            </w:r>
          </w:p>
        </w:tc>
        <w:tc>
          <w:tcPr>
            <w:tcW w:w="1099" w:type="dxa"/>
            <w:tcBorders>
              <w:top w:val="nil"/>
              <w:left w:val="nil"/>
              <w:bottom w:val="single" w:sz="4" w:space="0" w:color="auto"/>
              <w:right w:val="single" w:sz="4" w:space="0" w:color="auto"/>
            </w:tcBorders>
            <w:noWrap/>
            <w:vAlign w:val="center"/>
            <w:hideMark/>
          </w:tcPr>
          <w:p w14:paraId="4FD423D2"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15.2%</w:t>
            </w:r>
          </w:p>
        </w:tc>
      </w:tr>
      <w:tr w:rsidR="0025308C" w:rsidRPr="00F057FA" w14:paraId="2459499E" w14:textId="77777777" w:rsidTr="0025308C">
        <w:trPr>
          <w:trHeight w:val="706"/>
        </w:trPr>
        <w:tc>
          <w:tcPr>
            <w:tcW w:w="4623" w:type="dxa"/>
            <w:tcBorders>
              <w:top w:val="nil"/>
              <w:left w:val="single" w:sz="4" w:space="0" w:color="auto"/>
              <w:bottom w:val="single" w:sz="4" w:space="0" w:color="auto"/>
              <w:right w:val="single" w:sz="4" w:space="0" w:color="auto"/>
            </w:tcBorders>
            <w:vAlign w:val="center"/>
            <w:hideMark/>
          </w:tcPr>
          <w:p w14:paraId="7650CD92"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Relative likelihood of non-disabled staff being appointed from shortlisting compared to Disabled staff</w:t>
            </w:r>
          </w:p>
        </w:tc>
        <w:tc>
          <w:tcPr>
            <w:tcW w:w="5363" w:type="dxa"/>
            <w:gridSpan w:val="4"/>
            <w:tcBorders>
              <w:top w:val="single" w:sz="4" w:space="0" w:color="auto"/>
              <w:left w:val="nil"/>
              <w:bottom w:val="single" w:sz="4" w:space="0" w:color="auto"/>
              <w:right w:val="single" w:sz="4" w:space="0" w:color="auto"/>
            </w:tcBorders>
            <w:vAlign w:val="center"/>
            <w:hideMark/>
          </w:tcPr>
          <w:p w14:paraId="14EB5CF1" w14:textId="77777777" w:rsidR="0025308C" w:rsidRPr="00F057FA" w:rsidRDefault="0025308C" w:rsidP="00F057FA">
            <w:pPr>
              <w:spacing w:after="0" w:line="240" w:lineRule="auto"/>
              <w:jc w:val="both"/>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1.06</w:t>
            </w:r>
          </w:p>
        </w:tc>
      </w:tr>
    </w:tbl>
    <w:p w14:paraId="58CFDC83" w14:textId="24E67CBA" w:rsidR="008519B6" w:rsidRPr="00F057FA" w:rsidRDefault="008519B6" w:rsidP="00F057FA">
      <w:pPr>
        <w:spacing w:after="0" w:line="240" w:lineRule="auto"/>
        <w:rPr>
          <w:rFonts w:ascii="Aptos" w:hAnsi="Aptos" w:cs="Arial"/>
        </w:rPr>
      </w:pPr>
      <w:r w:rsidRPr="00F057FA">
        <w:rPr>
          <w:rFonts w:ascii="Aptos" w:hAnsi="Aptos" w:cs="Arial"/>
        </w:rPr>
        <w:t>A value of 1.0  indicate</w:t>
      </w:r>
      <w:r w:rsidR="0025308C" w:rsidRPr="00F057FA">
        <w:rPr>
          <w:rFonts w:ascii="Aptos" w:hAnsi="Aptos" w:cs="Arial"/>
        </w:rPr>
        <w:t>s</w:t>
      </w:r>
      <w:r w:rsidRPr="00F057FA">
        <w:rPr>
          <w:rFonts w:ascii="Aptos" w:hAnsi="Aptos" w:cs="Arial"/>
        </w:rPr>
        <w:t xml:space="preserve"> equal rates of appointment. The relative likelihood of an applicant with a disability being appointed after shortlisting is 1.</w:t>
      </w:r>
      <w:r w:rsidR="0025308C" w:rsidRPr="00F057FA">
        <w:rPr>
          <w:rFonts w:ascii="Aptos" w:hAnsi="Aptos" w:cs="Arial"/>
        </w:rPr>
        <w:t>06</w:t>
      </w:r>
      <w:r w:rsidRPr="00F057FA">
        <w:rPr>
          <w:rFonts w:ascii="Aptos" w:hAnsi="Aptos" w:cs="Arial"/>
        </w:rPr>
        <w:t>, slightly improving from 1.</w:t>
      </w:r>
      <w:r w:rsidR="0025308C" w:rsidRPr="00F057FA">
        <w:rPr>
          <w:rFonts w:ascii="Aptos" w:hAnsi="Aptos" w:cs="Arial"/>
        </w:rPr>
        <w:t>3</w:t>
      </w:r>
      <w:r w:rsidRPr="00F057FA">
        <w:rPr>
          <w:rFonts w:ascii="Aptos" w:hAnsi="Aptos" w:cs="Arial"/>
        </w:rPr>
        <w:t xml:space="preserve"> in 2024 and 1.</w:t>
      </w:r>
      <w:r w:rsidR="0025308C" w:rsidRPr="00F057FA">
        <w:rPr>
          <w:rFonts w:ascii="Aptos" w:hAnsi="Aptos" w:cs="Arial"/>
        </w:rPr>
        <w:t>16</w:t>
      </w:r>
      <w:r w:rsidRPr="00F057FA">
        <w:rPr>
          <w:rFonts w:ascii="Aptos" w:hAnsi="Aptos" w:cs="Arial"/>
        </w:rPr>
        <w:t xml:space="preserve"> in 2023. Of the applicants with disabilities, 14% were appointed following shortlisting, compared to 1</w:t>
      </w:r>
      <w:r w:rsidR="0025308C" w:rsidRPr="00F057FA">
        <w:rPr>
          <w:rFonts w:ascii="Aptos" w:hAnsi="Aptos" w:cs="Arial"/>
        </w:rPr>
        <w:t xml:space="preserve">5% </w:t>
      </w:r>
      <w:r w:rsidRPr="00F057FA">
        <w:rPr>
          <w:rFonts w:ascii="Aptos" w:hAnsi="Aptos" w:cs="Arial"/>
        </w:rPr>
        <w:t xml:space="preserve"> without a disability.</w:t>
      </w:r>
    </w:p>
    <w:p w14:paraId="394B8626" w14:textId="427C1031" w:rsidR="008519B6" w:rsidRPr="00F057FA" w:rsidRDefault="0025308C" w:rsidP="00F057FA">
      <w:pPr>
        <w:spacing w:after="0" w:line="240" w:lineRule="auto"/>
        <w:rPr>
          <w:rFonts w:ascii="Aptos" w:hAnsi="Aptos"/>
        </w:rPr>
      </w:pPr>
      <w:r w:rsidRPr="00F057FA">
        <w:rPr>
          <w:rFonts w:ascii="Aptos" w:hAnsi="Aptos"/>
          <w:noProof/>
        </w:rPr>
        <w:drawing>
          <wp:inline distT="0" distB="0" distL="0" distR="0" wp14:anchorId="2C85F9EC" wp14:editId="77ABCCB0">
            <wp:extent cx="5731510" cy="2595880"/>
            <wp:effectExtent l="0" t="0" r="2540" b="13970"/>
            <wp:docPr id="796314746" name="Chart 1" descr="Bar chart showing non-disabled staff were more likely than disabled staff to be appointed from shortlisting at SWBH from 2020–2025, except in 2022">
              <a:extLst xmlns:a="http://schemas.openxmlformats.org/drawingml/2006/main">
                <a:ext uri="{FF2B5EF4-FFF2-40B4-BE49-F238E27FC236}">
                  <a16:creationId xmlns:a16="http://schemas.microsoft.com/office/drawing/2014/main" id="{AF2B5808-87AD-4AB4-AA85-E740DC886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AA4867" w14:textId="77777777" w:rsidR="0025308C" w:rsidRPr="00F057FA" w:rsidRDefault="0025308C" w:rsidP="00F057FA">
      <w:pPr>
        <w:spacing w:after="0" w:line="240" w:lineRule="auto"/>
        <w:rPr>
          <w:rFonts w:ascii="Aptos" w:hAnsi="Aptos"/>
        </w:rPr>
      </w:pPr>
    </w:p>
    <w:p w14:paraId="4B622000" w14:textId="77777777" w:rsidR="0025308C" w:rsidRPr="00F057FA" w:rsidRDefault="0025308C" w:rsidP="00F057FA">
      <w:pPr>
        <w:spacing w:after="0" w:line="240" w:lineRule="auto"/>
        <w:rPr>
          <w:rFonts w:ascii="Aptos" w:hAnsi="Aptos"/>
        </w:rPr>
      </w:pPr>
    </w:p>
    <w:p w14:paraId="3ECE0955" w14:textId="77777777" w:rsidR="008519B6" w:rsidRPr="00F057FA" w:rsidRDefault="008519B6" w:rsidP="00F057FA">
      <w:pPr>
        <w:spacing w:after="0" w:line="240" w:lineRule="auto"/>
        <w:rPr>
          <w:rFonts w:ascii="Aptos" w:hAnsi="Aptos"/>
        </w:rPr>
      </w:pPr>
    </w:p>
    <w:p w14:paraId="0148D9A0" w14:textId="77777777" w:rsidR="008519B6" w:rsidRPr="00F057FA" w:rsidRDefault="008519B6" w:rsidP="00F057FA">
      <w:pPr>
        <w:spacing w:after="0" w:line="240" w:lineRule="auto"/>
        <w:rPr>
          <w:rFonts w:ascii="Aptos" w:hAnsi="Aptos"/>
        </w:rPr>
      </w:pPr>
    </w:p>
    <w:p w14:paraId="62D17723" w14:textId="3C4BCE51" w:rsidR="008519B6" w:rsidRPr="00F057FA" w:rsidRDefault="008519B6" w:rsidP="00F057FA">
      <w:pPr>
        <w:spacing w:after="0" w:line="240" w:lineRule="auto"/>
        <w:rPr>
          <w:rFonts w:ascii="Aptos" w:hAnsi="Aptos"/>
        </w:rPr>
      </w:pPr>
    </w:p>
    <w:p w14:paraId="18D45368" w14:textId="77777777" w:rsidR="008519B6" w:rsidRPr="00F057FA" w:rsidRDefault="008519B6" w:rsidP="00F057FA">
      <w:pPr>
        <w:spacing w:after="0" w:line="240" w:lineRule="auto"/>
        <w:rPr>
          <w:rFonts w:ascii="Aptos" w:hAnsi="Aptos"/>
        </w:rPr>
      </w:pPr>
    </w:p>
    <w:p w14:paraId="1B20763E" w14:textId="77777777" w:rsidR="008519B6" w:rsidRPr="00F057FA" w:rsidRDefault="008519B6" w:rsidP="00F057FA">
      <w:pPr>
        <w:spacing w:after="0" w:line="240" w:lineRule="auto"/>
        <w:rPr>
          <w:rFonts w:ascii="Aptos" w:hAnsi="Aptos"/>
        </w:rPr>
      </w:pPr>
    </w:p>
    <w:p w14:paraId="4764E7EA" w14:textId="77777777" w:rsidR="008519B6" w:rsidRPr="00F057FA" w:rsidRDefault="008519B6" w:rsidP="00F057FA">
      <w:pPr>
        <w:pStyle w:val="Heading1"/>
        <w:spacing w:before="0" w:after="0" w:line="240" w:lineRule="auto"/>
        <w:rPr>
          <w:rFonts w:ascii="Aptos" w:hAnsi="Aptos"/>
        </w:rPr>
      </w:pPr>
      <w:bookmarkStart w:id="8" w:name="_Toc198627460"/>
      <w:r w:rsidRPr="00F057FA">
        <w:rPr>
          <w:rFonts w:ascii="Aptos" w:hAnsi="Aptos"/>
        </w:rPr>
        <w:lastRenderedPageBreak/>
        <w:t>Metric 3 - The relative likelihood of disabled staff entering the formal capability process compared to non-disabled staff</w:t>
      </w:r>
      <w:bookmarkEnd w:id="8"/>
    </w:p>
    <w:p w14:paraId="4996D934" w14:textId="77777777" w:rsidR="00FE7185" w:rsidRDefault="00FE7185" w:rsidP="00F057FA">
      <w:pPr>
        <w:pStyle w:val="NormalWeb"/>
        <w:spacing w:before="0" w:beforeAutospacing="0" w:after="0" w:afterAutospacing="0"/>
        <w:rPr>
          <w:rFonts w:ascii="Aptos" w:hAnsi="Aptos" w:cs="Arial"/>
        </w:rPr>
      </w:pPr>
      <w:r w:rsidRPr="00F057FA">
        <w:rPr>
          <w:rFonts w:ascii="Aptos" w:hAnsi="Aptos" w:cs="Arial"/>
        </w:rPr>
        <w:t>This metric is typically expressed as a ‘times more likely’ figure, comparing the likelihood of staff with disabilities entering the formal capability process against those without disabilities.</w:t>
      </w:r>
    </w:p>
    <w:p w14:paraId="5B041F9B" w14:textId="77777777" w:rsidR="000F53A3" w:rsidRPr="00F057FA" w:rsidRDefault="000F53A3" w:rsidP="00F057FA">
      <w:pPr>
        <w:pStyle w:val="NormalWeb"/>
        <w:spacing w:before="0" w:beforeAutospacing="0" w:after="0" w:afterAutospacing="0"/>
        <w:rPr>
          <w:rFonts w:ascii="Aptos" w:hAnsi="Aptos" w:cs="Arial"/>
        </w:rPr>
      </w:pPr>
    </w:p>
    <w:p w14:paraId="3B1777DB" w14:textId="41B82C24" w:rsidR="00FE7185" w:rsidRDefault="00FE7185" w:rsidP="00F057FA">
      <w:pPr>
        <w:pStyle w:val="NormalWeb"/>
        <w:spacing w:before="0" w:beforeAutospacing="0" w:after="0" w:afterAutospacing="0"/>
        <w:rPr>
          <w:rFonts w:ascii="Aptos" w:hAnsi="Aptos" w:cs="Arial"/>
        </w:rPr>
      </w:pPr>
      <w:r w:rsidRPr="00F057FA">
        <w:rPr>
          <w:rFonts w:ascii="Aptos" w:hAnsi="Aptos" w:cs="Arial"/>
        </w:rPr>
        <w:t>In 2024, the metric was affected by a small number of staff entering the formal capability process, which skewed the results. To provide clearer insight, we’ve converted the data into percentages: 0.1 of staff with disabilities and 0.1% of staff without disabilities who entered the capability procedure.</w:t>
      </w:r>
    </w:p>
    <w:p w14:paraId="0FAA14B1" w14:textId="77777777" w:rsidR="000F53A3" w:rsidRPr="00F057FA" w:rsidRDefault="000F53A3" w:rsidP="00F057FA">
      <w:pPr>
        <w:pStyle w:val="NormalWeb"/>
        <w:spacing w:before="0" w:beforeAutospacing="0" w:after="0" w:afterAutospacing="0"/>
        <w:rPr>
          <w:rFonts w:ascii="Aptos" w:hAnsi="Aptos" w:cs="Arial"/>
        </w:rPr>
      </w:pPr>
    </w:p>
    <w:p w14:paraId="276F2DBE" w14:textId="2B743E4A" w:rsidR="00FE7185" w:rsidRPr="00F057FA" w:rsidRDefault="00FE7185" w:rsidP="00F057FA">
      <w:pPr>
        <w:spacing w:after="0" w:line="240" w:lineRule="auto"/>
        <w:rPr>
          <w:rFonts w:ascii="Aptos" w:hAnsi="Aptos" w:cs="Arial"/>
        </w:rPr>
      </w:pPr>
      <w:r w:rsidRPr="00F057FA">
        <w:rPr>
          <w:rFonts w:ascii="Aptos" w:hAnsi="Aptos"/>
          <w:noProof/>
        </w:rPr>
        <w:drawing>
          <wp:inline distT="0" distB="0" distL="0" distR="0" wp14:anchorId="25867573" wp14:editId="5C088830">
            <wp:extent cx="5731510" cy="2611120"/>
            <wp:effectExtent l="0" t="0" r="2540" b="17780"/>
            <wp:docPr id="471756934" name="Chart 1" descr="Bar chart showing disabled staff (0.2%) are twice as likely to enter the formal capability process compared to non-disabled staff (0.1%). Unknown/not stated is 0.0%.">
              <a:extLst xmlns:a="http://schemas.openxmlformats.org/drawingml/2006/main">
                <a:ext uri="{FF2B5EF4-FFF2-40B4-BE49-F238E27FC236}">
                  <a16:creationId xmlns:a16="http://schemas.microsoft.com/office/drawing/2014/main" id="{159C2A9D-D6C8-31D6-AA02-B3083EE3F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36A219" w14:textId="77777777" w:rsidR="00FE7185" w:rsidRPr="00F057FA" w:rsidRDefault="00FE7185" w:rsidP="00F057FA">
      <w:pPr>
        <w:spacing w:after="0" w:line="240" w:lineRule="auto"/>
        <w:rPr>
          <w:rFonts w:ascii="Aptos" w:hAnsi="Aptos"/>
        </w:rPr>
      </w:pPr>
    </w:p>
    <w:p w14:paraId="5E95F7C2" w14:textId="77777777" w:rsidR="008519B6" w:rsidRPr="00F057FA" w:rsidRDefault="008519B6" w:rsidP="00F057FA">
      <w:pPr>
        <w:spacing w:after="0" w:line="240" w:lineRule="auto"/>
        <w:rPr>
          <w:rFonts w:ascii="Aptos" w:hAnsi="Aptos"/>
        </w:rPr>
      </w:pPr>
    </w:p>
    <w:p w14:paraId="79A31B7F" w14:textId="7F792989" w:rsidR="008519B6" w:rsidRPr="00F057FA" w:rsidRDefault="008519B6" w:rsidP="00F057FA">
      <w:pPr>
        <w:pStyle w:val="Heading1"/>
        <w:spacing w:before="0" w:after="0" w:line="240" w:lineRule="auto"/>
        <w:rPr>
          <w:rFonts w:ascii="Aptos" w:hAnsi="Aptos"/>
        </w:rPr>
      </w:pPr>
      <w:bookmarkStart w:id="9" w:name="_Toc198627461"/>
      <w:r w:rsidRPr="00F057FA">
        <w:rPr>
          <w:rFonts w:ascii="Aptos" w:hAnsi="Aptos"/>
        </w:rPr>
        <w:t>Metric 4</w:t>
      </w:r>
      <w:r w:rsidR="00FE7185" w:rsidRPr="00F057FA">
        <w:rPr>
          <w:rFonts w:ascii="Aptos" w:hAnsi="Aptos"/>
        </w:rPr>
        <w:t>a</w:t>
      </w:r>
      <w:r w:rsidRPr="00F057FA">
        <w:rPr>
          <w:rFonts w:ascii="Aptos" w:hAnsi="Aptos"/>
        </w:rPr>
        <w:t xml:space="preserve"> - Percentage of staff experiencing harassment, bullying or abuse from patients/service users, their </w:t>
      </w:r>
      <w:r w:rsidR="00FE7185" w:rsidRPr="00F057FA">
        <w:rPr>
          <w:rFonts w:ascii="Aptos" w:hAnsi="Aptos"/>
        </w:rPr>
        <w:t>relatives</w:t>
      </w:r>
      <w:r w:rsidRPr="00F057FA">
        <w:rPr>
          <w:rFonts w:ascii="Aptos" w:hAnsi="Aptos"/>
        </w:rPr>
        <w:t xml:space="preserve"> or the public</w:t>
      </w:r>
      <w:bookmarkEnd w:id="9"/>
      <w:r w:rsidRPr="00F057FA">
        <w:rPr>
          <w:rFonts w:ascii="Aptos" w:hAnsi="Aptos"/>
        </w:rPr>
        <w:t>.</w:t>
      </w:r>
    </w:p>
    <w:p w14:paraId="458D7191" w14:textId="0CBB29E6" w:rsidR="008519B6" w:rsidRDefault="00FE7185" w:rsidP="00F057FA">
      <w:pPr>
        <w:spacing w:after="0" w:line="240" w:lineRule="auto"/>
        <w:rPr>
          <w:rFonts w:ascii="Aptos" w:hAnsi="Aptos" w:cs="Arial"/>
        </w:rPr>
      </w:pPr>
      <w:r w:rsidRPr="00F057FA">
        <w:rPr>
          <w:rFonts w:ascii="Aptos" w:hAnsi="Aptos" w:cs="Arial"/>
        </w:rPr>
        <w:t>In 2024, 2</w:t>
      </w:r>
      <w:r w:rsidR="00F2501F" w:rsidRPr="00F057FA">
        <w:rPr>
          <w:rFonts w:ascii="Aptos" w:hAnsi="Aptos" w:cs="Arial"/>
        </w:rPr>
        <w:t>6.07%</w:t>
      </w:r>
      <w:r w:rsidRPr="00F057FA">
        <w:rPr>
          <w:rFonts w:ascii="Aptos" w:hAnsi="Aptos" w:cs="Arial"/>
        </w:rPr>
        <w:t xml:space="preserve"> of staff with a long-term condition or illness reported experiencing harassment, bullying, or abuse from patients or the public—a figure which has improved slightly from the previous year. By contrast, 19% of staff without a long-term condition or illness reported similar experiences.</w:t>
      </w:r>
    </w:p>
    <w:p w14:paraId="526FA7AD" w14:textId="77777777" w:rsidR="000F53A3" w:rsidRPr="00F057FA" w:rsidRDefault="000F53A3" w:rsidP="00F057FA">
      <w:pPr>
        <w:spacing w:after="0" w:line="240" w:lineRule="auto"/>
        <w:rPr>
          <w:rFonts w:ascii="Aptos" w:hAnsi="Aptos" w:cs="Arial"/>
        </w:rPr>
      </w:pPr>
    </w:p>
    <w:tbl>
      <w:tblPr>
        <w:tblW w:w="10460" w:type="dxa"/>
        <w:tblLook w:val="04A0" w:firstRow="1" w:lastRow="0" w:firstColumn="1" w:lastColumn="0" w:noHBand="0" w:noVBand="1"/>
      </w:tblPr>
      <w:tblGrid>
        <w:gridCol w:w="4680"/>
        <w:gridCol w:w="960"/>
        <w:gridCol w:w="960"/>
        <w:gridCol w:w="980"/>
        <w:gridCol w:w="960"/>
        <w:gridCol w:w="960"/>
        <w:gridCol w:w="960"/>
      </w:tblGrid>
      <w:tr w:rsidR="00FE7185" w:rsidRPr="00F057FA" w14:paraId="7E379E93" w14:textId="77777777" w:rsidTr="00FE7185">
        <w:trPr>
          <w:trHeight w:val="290"/>
        </w:trPr>
        <w:tc>
          <w:tcPr>
            <w:tcW w:w="4680" w:type="dxa"/>
            <w:tcBorders>
              <w:top w:val="single" w:sz="4" w:space="0" w:color="auto"/>
              <w:left w:val="single" w:sz="4" w:space="0" w:color="auto"/>
              <w:bottom w:val="single" w:sz="4" w:space="0" w:color="auto"/>
              <w:right w:val="single" w:sz="4" w:space="0" w:color="auto"/>
            </w:tcBorders>
            <w:noWrap/>
            <w:vAlign w:val="bottom"/>
            <w:hideMark/>
          </w:tcPr>
          <w:p w14:paraId="3F654A61" w14:textId="77777777" w:rsidR="00FE7185" w:rsidRPr="00F057FA" w:rsidRDefault="00FE7185"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2BE3315F"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45E9E3F3"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80" w:type="dxa"/>
            <w:tcBorders>
              <w:top w:val="single" w:sz="4" w:space="0" w:color="auto"/>
              <w:left w:val="nil"/>
              <w:bottom w:val="single" w:sz="4" w:space="0" w:color="auto"/>
              <w:right w:val="single" w:sz="4" w:space="0" w:color="auto"/>
            </w:tcBorders>
            <w:noWrap/>
            <w:vAlign w:val="bottom"/>
            <w:hideMark/>
          </w:tcPr>
          <w:p w14:paraId="38DAC455"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3BAACFAA"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22ED7DFB"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c>
          <w:tcPr>
            <w:tcW w:w="960" w:type="dxa"/>
            <w:tcBorders>
              <w:top w:val="nil"/>
              <w:left w:val="nil"/>
              <w:bottom w:val="nil"/>
              <w:right w:val="nil"/>
            </w:tcBorders>
            <w:noWrap/>
            <w:vAlign w:val="bottom"/>
            <w:hideMark/>
          </w:tcPr>
          <w:p w14:paraId="0C06DC21" w14:textId="77777777" w:rsidR="00FE7185" w:rsidRPr="00F057FA" w:rsidRDefault="00FE7185" w:rsidP="00F057FA">
            <w:pPr>
              <w:spacing w:after="0" w:line="240" w:lineRule="auto"/>
              <w:jc w:val="right"/>
              <w:rPr>
                <w:rFonts w:ascii="Aptos" w:eastAsia="Times New Roman" w:hAnsi="Aptos" w:cs="Times New Roman"/>
                <w:b/>
                <w:bCs/>
                <w:color w:val="000000"/>
                <w:kern w:val="0"/>
                <w:sz w:val="22"/>
                <w:szCs w:val="22"/>
                <w:lang w:eastAsia="en-GB"/>
                <w14:ligatures w14:val="none"/>
              </w:rPr>
            </w:pPr>
          </w:p>
        </w:tc>
      </w:tr>
      <w:tr w:rsidR="00FE7185" w:rsidRPr="00F057FA" w14:paraId="52FACF3E"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36CB5D45"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32C60140"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36.79%</w:t>
            </w:r>
          </w:p>
        </w:tc>
        <w:tc>
          <w:tcPr>
            <w:tcW w:w="960" w:type="dxa"/>
            <w:tcBorders>
              <w:top w:val="nil"/>
              <w:left w:val="nil"/>
              <w:bottom w:val="single" w:sz="4" w:space="0" w:color="auto"/>
              <w:right w:val="single" w:sz="4" w:space="0" w:color="auto"/>
            </w:tcBorders>
            <w:noWrap/>
            <w:vAlign w:val="bottom"/>
            <w:hideMark/>
          </w:tcPr>
          <w:p w14:paraId="712ABE47"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39.27%</w:t>
            </w:r>
          </w:p>
        </w:tc>
        <w:tc>
          <w:tcPr>
            <w:tcW w:w="980" w:type="dxa"/>
            <w:tcBorders>
              <w:top w:val="nil"/>
              <w:left w:val="nil"/>
              <w:bottom w:val="single" w:sz="4" w:space="0" w:color="auto"/>
              <w:right w:val="single" w:sz="4" w:space="0" w:color="auto"/>
            </w:tcBorders>
            <w:noWrap/>
            <w:vAlign w:val="bottom"/>
            <w:hideMark/>
          </w:tcPr>
          <w:p w14:paraId="0FD29551"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35.36%</w:t>
            </w:r>
          </w:p>
        </w:tc>
        <w:tc>
          <w:tcPr>
            <w:tcW w:w="960" w:type="dxa"/>
            <w:tcBorders>
              <w:top w:val="nil"/>
              <w:left w:val="nil"/>
              <w:bottom w:val="single" w:sz="4" w:space="0" w:color="auto"/>
              <w:right w:val="single" w:sz="4" w:space="0" w:color="auto"/>
            </w:tcBorders>
            <w:noWrap/>
            <w:vAlign w:val="bottom"/>
            <w:hideMark/>
          </w:tcPr>
          <w:p w14:paraId="1CB71114"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27.65%</w:t>
            </w:r>
          </w:p>
        </w:tc>
        <w:tc>
          <w:tcPr>
            <w:tcW w:w="960" w:type="dxa"/>
            <w:tcBorders>
              <w:top w:val="nil"/>
              <w:left w:val="nil"/>
              <w:bottom w:val="single" w:sz="4" w:space="0" w:color="auto"/>
              <w:right w:val="single" w:sz="4" w:space="0" w:color="auto"/>
            </w:tcBorders>
            <w:noWrap/>
            <w:vAlign w:val="bottom"/>
            <w:hideMark/>
          </w:tcPr>
          <w:p w14:paraId="3616FF23"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26.07%</w:t>
            </w:r>
          </w:p>
        </w:tc>
        <w:tc>
          <w:tcPr>
            <w:tcW w:w="960" w:type="dxa"/>
            <w:tcBorders>
              <w:top w:val="nil"/>
              <w:left w:val="nil"/>
              <w:bottom w:val="nil"/>
              <w:right w:val="nil"/>
            </w:tcBorders>
            <w:noWrap/>
            <w:vAlign w:val="bottom"/>
            <w:hideMark/>
          </w:tcPr>
          <w:p w14:paraId="2B46B782"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FE7185" w:rsidRPr="00F057FA" w14:paraId="2DAE7486"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7AED4F44"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7D06EA6C"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25.89%</w:t>
            </w:r>
          </w:p>
        </w:tc>
        <w:tc>
          <w:tcPr>
            <w:tcW w:w="960" w:type="dxa"/>
            <w:tcBorders>
              <w:top w:val="nil"/>
              <w:left w:val="nil"/>
              <w:bottom w:val="single" w:sz="4" w:space="0" w:color="auto"/>
              <w:right w:val="single" w:sz="4" w:space="0" w:color="auto"/>
            </w:tcBorders>
            <w:noWrap/>
            <w:vAlign w:val="bottom"/>
            <w:hideMark/>
          </w:tcPr>
          <w:p w14:paraId="0D5C21DB"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26.91%</w:t>
            </w:r>
          </w:p>
        </w:tc>
        <w:tc>
          <w:tcPr>
            <w:tcW w:w="980" w:type="dxa"/>
            <w:tcBorders>
              <w:top w:val="nil"/>
              <w:left w:val="nil"/>
              <w:bottom w:val="single" w:sz="4" w:space="0" w:color="auto"/>
              <w:right w:val="single" w:sz="4" w:space="0" w:color="auto"/>
            </w:tcBorders>
            <w:noWrap/>
            <w:vAlign w:val="bottom"/>
            <w:hideMark/>
          </w:tcPr>
          <w:p w14:paraId="228B8256"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27.96%</w:t>
            </w:r>
          </w:p>
        </w:tc>
        <w:tc>
          <w:tcPr>
            <w:tcW w:w="960" w:type="dxa"/>
            <w:tcBorders>
              <w:top w:val="nil"/>
              <w:left w:val="nil"/>
              <w:bottom w:val="single" w:sz="4" w:space="0" w:color="auto"/>
              <w:right w:val="single" w:sz="4" w:space="0" w:color="auto"/>
            </w:tcBorders>
            <w:noWrap/>
            <w:vAlign w:val="bottom"/>
            <w:hideMark/>
          </w:tcPr>
          <w:p w14:paraId="5D13E46C"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20.22%</w:t>
            </w:r>
          </w:p>
        </w:tc>
        <w:tc>
          <w:tcPr>
            <w:tcW w:w="960" w:type="dxa"/>
            <w:tcBorders>
              <w:top w:val="nil"/>
              <w:left w:val="nil"/>
              <w:bottom w:val="single" w:sz="4" w:space="0" w:color="auto"/>
              <w:right w:val="single" w:sz="4" w:space="0" w:color="auto"/>
            </w:tcBorders>
            <w:noWrap/>
            <w:vAlign w:val="bottom"/>
            <w:hideMark/>
          </w:tcPr>
          <w:p w14:paraId="5F2EF280"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19.59%</w:t>
            </w:r>
          </w:p>
        </w:tc>
        <w:tc>
          <w:tcPr>
            <w:tcW w:w="960" w:type="dxa"/>
            <w:tcBorders>
              <w:top w:val="nil"/>
              <w:left w:val="nil"/>
              <w:bottom w:val="nil"/>
              <w:right w:val="nil"/>
            </w:tcBorders>
            <w:noWrap/>
            <w:vAlign w:val="bottom"/>
            <w:hideMark/>
          </w:tcPr>
          <w:p w14:paraId="271A0E97"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FE7185" w:rsidRPr="00F057FA" w14:paraId="065A7064"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18B8FEF7"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0C1A0BBF"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30.86%</w:t>
            </w:r>
          </w:p>
        </w:tc>
        <w:tc>
          <w:tcPr>
            <w:tcW w:w="960" w:type="dxa"/>
            <w:tcBorders>
              <w:top w:val="nil"/>
              <w:left w:val="nil"/>
              <w:bottom w:val="single" w:sz="4" w:space="0" w:color="auto"/>
              <w:right w:val="single" w:sz="4" w:space="0" w:color="auto"/>
            </w:tcBorders>
            <w:noWrap/>
            <w:vAlign w:val="bottom"/>
            <w:hideMark/>
          </w:tcPr>
          <w:p w14:paraId="5E4152D6"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32.43%</w:t>
            </w:r>
          </w:p>
        </w:tc>
        <w:tc>
          <w:tcPr>
            <w:tcW w:w="980" w:type="dxa"/>
            <w:tcBorders>
              <w:top w:val="nil"/>
              <w:left w:val="nil"/>
              <w:bottom w:val="single" w:sz="4" w:space="0" w:color="auto"/>
              <w:right w:val="single" w:sz="4" w:space="0" w:color="auto"/>
            </w:tcBorders>
            <w:noWrap/>
            <w:vAlign w:val="bottom"/>
            <w:hideMark/>
          </w:tcPr>
          <w:p w14:paraId="0B13BB48"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32.98%</w:t>
            </w:r>
          </w:p>
        </w:tc>
        <w:tc>
          <w:tcPr>
            <w:tcW w:w="960" w:type="dxa"/>
            <w:tcBorders>
              <w:top w:val="nil"/>
              <w:left w:val="nil"/>
              <w:bottom w:val="single" w:sz="4" w:space="0" w:color="auto"/>
              <w:right w:val="single" w:sz="4" w:space="0" w:color="auto"/>
            </w:tcBorders>
            <w:noWrap/>
            <w:vAlign w:val="bottom"/>
            <w:hideMark/>
          </w:tcPr>
          <w:p w14:paraId="0F045CFA"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29.83%</w:t>
            </w:r>
          </w:p>
        </w:tc>
        <w:tc>
          <w:tcPr>
            <w:tcW w:w="960" w:type="dxa"/>
            <w:tcBorders>
              <w:top w:val="nil"/>
              <w:left w:val="nil"/>
              <w:bottom w:val="single" w:sz="4" w:space="0" w:color="auto"/>
              <w:right w:val="single" w:sz="4" w:space="0" w:color="auto"/>
            </w:tcBorders>
            <w:noWrap/>
            <w:vAlign w:val="bottom"/>
            <w:hideMark/>
          </w:tcPr>
          <w:p w14:paraId="356F8F8E"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29.37%</w:t>
            </w:r>
          </w:p>
        </w:tc>
        <w:tc>
          <w:tcPr>
            <w:tcW w:w="960" w:type="dxa"/>
            <w:tcBorders>
              <w:top w:val="nil"/>
              <w:left w:val="nil"/>
              <w:bottom w:val="nil"/>
              <w:right w:val="nil"/>
            </w:tcBorders>
            <w:noWrap/>
            <w:vAlign w:val="bottom"/>
            <w:hideMark/>
          </w:tcPr>
          <w:p w14:paraId="13E2FEEC"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FE7185" w:rsidRPr="00F057FA" w14:paraId="58B19D3C"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569658D6"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60DADF89"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24.53%</w:t>
            </w:r>
          </w:p>
        </w:tc>
        <w:tc>
          <w:tcPr>
            <w:tcW w:w="960" w:type="dxa"/>
            <w:tcBorders>
              <w:top w:val="nil"/>
              <w:left w:val="nil"/>
              <w:bottom w:val="single" w:sz="4" w:space="0" w:color="auto"/>
              <w:right w:val="single" w:sz="4" w:space="0" w:color="auto"/>
            </w:tcBorders>
            <w:noWrap/>
            <w:vAlign w:val="bottom"/>
            <w:hideMark/>
          </w:tcPr>
          <w:p w14:paraId="47BE63C9"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25.19%</w:t>
            </w:r>
          </w:p>
        </w:tc>
        <w:tc>
          <w:tcPr>
            <w:tcW w:w="980" w:type="dxa"/>
            <w:tcBorders>
              <w:top w:val="nil"/>
              <w:left w:val="nil"/>
              <w:bottom w:val="single" w:sz="4" w:space="0" w:color="auto"/>
              <w:right w:val="single" w:sz="4" w:space="0" w:color="auto"/>
            </w:tcBorders>
            <w:noWrap/>
            <w:vAlign w:val="bottom"/>
            <w:hideMark/>
          </w:tcPr>
          <w:p w14:paraId="6E06E7C4"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21.16%</w:t>
            </w:r>
          </w:p>
        </w:tc>
        <w:tc>
          <w:tcPr>
            <w:tcW w:w="960" w:type="dxa"/>
            <w:tcBorders>
              <w:top w:val="nil"/>
              <w:left w:val="nil"/>
              <w:bottom w:val="single" w:sz="4" w:space="0" w:color="auto"/>
              <w:right w:val="single" w:sz="4" w:space="0" w:color="auto"/>
            </w:tcBorders>
            <w:noWrap/>
            <w:vAlign w:val="bottom"/>
            <w:hideMark/>
          </w:tcPr>
          <w:p w14:paraId="19F62A90"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23.11%</w:t>
            </w:r>
          </w:p>
        </w:tc>
        <w:tc>
          <w:tcPr>
            <w:tcW w:w="960" w:type="dxa"/>
            <w:tcBorders>
              <w:top w:val="nil"/>
              <w:left w:val="nil"/>
              <w:bottom w:val="single" w:sz="4" w:space="0" w:color="auto"/>
              <w:right w:val="single" w:sz="4" w:space="0" w:color="auto"/>
            </w:tcBorders>
            <w:noWrap/>
            <w:vAlign w:val="bottom"/>
            <w:hideMark/>
          </w:tcPr>
          <w:p w14:paraId="13CBA092"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22.71%</w:t>
            </w:r>
          </w:p>
        </w:tc>
        <w:tc>
          <w:tcPr>
            <w:tcW w:w="960" w:type="dxa"/>
            <w:tcBorders>
              <w:top w:val="nil"/>
              <w:left w:val="nil"/>
              <w:bottom w:val="nil"/>
              <w:right w:val="nil"/>
            </w:tcBorders>
            <w:noWrap/>
            <w:vAlign w:val="bottom"/>
            <w:hideMark/>
          </w:tcPr>
          <w:p w14:paraId="05DBB4BE"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FE7185" w:rsidRPr="00F057FA" w14:paraId="71D33E8D"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30E9FA30"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1B2FD2CA"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511</w:t>
            </w:r>
          </w:p>
        </w:tc>
        <w:tc>
          <w:tcPr>
            <w:tcW w:w="960" w:type="dxa"/>
            <w:tcBorders>
              <w:top w:val="nil"/>
              <w:left w:val="nil"/>
              <w:bottom w:val="single" w:sz="4" w:space="0" w:color="auto"/>
              <w:right w:val="single" w:sz="4" w:space="0" w:color="auto"/>
            </w:tcBorders>
            <w:noWrap/>
            <w:vAlign w:val="bottom"/>
            <w:hideMark/>
          </w:tcPr>
          <w:p w14:paraId="14B65093"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629</w:t>
            </w:r>
          </w:p>
        </w:tc>
        <w:tc>
          <w:tcPr>
            <w:tcW w:w="980" w:type="dxa"/>
            <w:tcBorders>
              <w:top w:val="nil"/>
              <w:left w:val="nil"/>
              <w:bottom w:val="single" w:sz="4" w:space="0" w:color="auto"/>
              <w:right w:val="single" w:sz="4" w:space="0" w:color="auto"/>
            </w:tcBorders>
            <w:noWrap/>
            <w:vAlign w:val="bottom"/>
            <w:hideMark/>
          </w:tcPr>
          <w:p w14:paraId="313DCBEE"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591</w:t>
            </w:r>
          </w:p>
        </w:tc>
        <w:tc>
          <w:tcPr>
            <w:tcW w:w="960" w:type="dxa"/>
            <w:tcBorders>
              <w:top w:val="nil"/>
              <w:left w:val="nil"/>
              <w:bottom w:val="single" w:sz="4" w:space="0" w:color="auto"/>
              <w:right w:val="single" w:sz="4" w:space="0" w:color="auto"/>
            </w:tcBorders>
            <w:noWrap/>
            <w:vAlign w:val="bottom"/>
            <w:hideMark/>
          </w:tcPr>
          <w:p w14:paraId="2AC5299A"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492</w:t>
            </w:r>
          </w:p>
        </w:tc>
        <w:tc>
          <w:tcPr>
            <w:tcW w:w="960" w:type="dxa"/>
            <w:tcBorders>
              <w:top w:val="nil"/>
              <w:left w:val="nil"/>
              <w:bottom w:val="single" w:sz="4" w:space="0" w:color="auto"/>
              <w:right w:val="single" w:sz="4" w:space="0" w:color="auto"/>
            </w:tcBorders>
            <w:noWrap/>
            <w:vAlign w:val="bottom"/>
            <w:hideMark/>
          </w:tcPr>
          <w:p w14:paraId="68D9BF00"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633</w:t>
            </w:r>
          </w:p>
        </w:tc>
        <w:tc>
          <w:tcPr>
            <w:tcW w:w="960" w:type="dxa"/>
            <w:tcBorders>
              <w:top w:val="nil"/>
              <w:left w:val="nil"/>
              <w:bottom w:val="nil"/>
              <w:right w:val="nil"/>
            </w:tcBorders>
            <w:noWrap/>
            <w:vAlign w:val="bottom"/>
            <w:hideMark/>
          </w:tcPr>
          <w:p w14:paraId="04815CD6"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FE7185" w:rsidRPr="00F057FA" w14:paraId="0A73C0A9" w14:textId="77777777" w:rsidTr="00FE7185">
        <w:trPr>
          <w:trHeight w:val="290"/>
        </w:trPr>
        <w:tc>
          <w:tcPr>
            <w:tcW w:w="4680" w:type="dxa"/>
            <w:tcBorders>
              <w:top w:val="nil"/>
              <w:left w:val="single" w:sz="4" w:space="0" w:color="auto"/>
              <w:bottom w:val="single" w:sz="4" w:space="0" w:color="auto"/>
              <w:right w:val="single" w:sz="4" w:space="0" w:color="auto"/>
            </w:tcBorders>
            <w:noWrap/>
            <w:vAlign w:val="bottom"/>
            <w:hideMark/>
          </w:tcPr>
          <w:p w14:paraId="5013ABFF" w14:textId="77777777" w:rsidR="00FE7185" w:rsidRPr="00F057FA" w:rsidRDefault="00FE7185"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1DBA2A62"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2109</w:t>
            </w:r>
          </w:p>
        </w:tc>
        <w:tc>
          <w:tcPr>
            <w:tcW w:w="960" w:type="dxa"/>
            <w:tcBorders>
              <w:top w:val="nil"/>
              <w:left w:val="nil"/>
              <w:bottom w:val="single" w:sz="4" w:space="0" w:color="auto"/>
              <w:right w:val="single" w:sz="4" w:space="0" w:color="auto"/>
            </w:tcBorders>
            <w:noWrap/>
            <w:vAlign w:val="bottom"/>
            <w:hideMark/>
          </w:tcPr>
          <w:p w14:paraId="09F8B5CA"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2155</w:t>
            </w:r>
          </w:p>
        </w:tc>
        <w:tc>
          <w:tcPr>
            <w:tcW w:w="980" w:type="dxa"/>
            <w:tcBorders>
              <w:top w:val="nil"/>
              <w:left w:val="nil"/>
              <w:bottom w:val="single" w:sz="4" w:space="0" w:color="auto"/>
              <w:right w:val="single" w:sz="4" w:space="0" w:color="auto"/>
            </w:tcBorders>
            <w:noWrap/>
            <w:vAlign w:val="bottom"/>
            <w:hideMark/>
          </w:tcPr>
          <w:p w14:paraId="2562C51A"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2178</w:t>
            </w:r>
          </w:p>
        </w:tc>
        <w:tc>
          <w:tcPr>
            <w:tcW w:w="960" w:type="dxa"/>
            <w:tcBorders>
              <w:top w:val="nil"/>
              <w:left w:val="nil"/>
              <w:bottom w:val="single" w:sz="4" w:space="0" w:color="auto"/>
              <w:right w:val="single" w:sz="4" w:space="0" w:color="auto"/>
            </w:tcBorders>
            <w:noWrap/>
            <w:vAlign w:val="bottom"/>
            <w:hideMark/>
          </w:tcPr>
          <w:p w14:paraId="59302B32"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1584</w:t>
            </w:r>
          </w:p>
        </w:tc>
        <w:tc>
          <w:tcPr>
            <w:tcW w:w="960" w:type="dxa"/>
            <w:tcBorders>
              <w:top w:val="nil"/>
              <w:left w:val="nil"/>
              <w:bottom w:val="single" w:sz="4" w:space="0" w:color="auto"/>
              <w:right w:val="single" w:sz="4" w:space="0" w:color="auto"/>
            </w:tcBorders>
            <w:noWrap/>
            <w:vAlign w:val="bottom"/>
            <w:hideMark/>
          </w:tcPr>
          <w:p w14:paraId="27F5F236"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2032</w:t>
            </w:r>
          </w:p>
        </w:tc>
        <w:tc>
          <w:tcPr>
            <w:tcW w:w="960" w:type="dxa"/>
            <w:tcBorders>
              <w:top w:val="nil"/>
              <w:left w:val="nil"/>
              <w:bottom w:val="nil"/>
              <w:right w:val="nil"/>
            </w:tcBorders>
            <w:noWrap/>
            <w:vAlign w:val="bottom"/>
            <w:hideMark/>
          </w:tcPr>
          <w:p w14:paraId="2159BB50" w14:textId="77777777" w:rsidR="00FE7185" w:rsidRPr="00F057FA" w:rsidRDefault="00FE7185" w:rsidP="00F057FA">
            <w:pPr>
              <w:spacing w:after="0" w:line="240" w:lineRule="auto"/>
              <w:jc w:val="right"/>
              <w:rPr>
                <w:rFonts w:ascii="Aptos" w:eastAsia="Times New Roman" w:hAnsi="Aptos" w:cs="Times New Roman"/>
                <w:color w:val="000000"/>
                <w:kern w:val="0"/>
                <w:sz w:val="22"/>
                <w:szCs w:val="22"/>
                <w:lang w:eastAsia="en-GB"/>
                <w14:ligatures w14:val="none"/>
              </w:rPr>
            </w:pPr>
          </w:p>
        </w:tc>
      </w:tr>
    </w:tbl>
    <w:p w14:paraId="5E4A9441" w14:textId="77777777" w:rsidR="008519B6" w:rsidRPr="00F057FA" w:rsidRDefault="008519B6" w:rsidP="00F057FA">
      <w:pPr>
        <w:spacing w:after="0" w:line="240" w:lineRule="auto"/>
        <w:rPr>
          <w:rFonts w:ascii="Aptos" w:hAnsi="Aptos"/>
        </w:rPr>
      </w:pPr>
    </w:p>
    <w:p w14:paraId="292B9AE2" w14:textId="2385B807" w:rsidR="008519B6" w:rsidRPr="00F057FA" w:rsidRDefault="00F2501F" w:rsidP="00F057FA">
      <w:pPr>
        <w:spacing w:after="0" w:line="240" w:lineRule="auto"/>
        <w:rPr>
          <w:rFonts w:ascii="Aptos" w:hAnsi="Aptos"/>
        </w:rPr>
      </w:pPr>
      <w:r w:rsidRPr="00F057FA">
        <w:rPr>
          <w:rFonts w:ascii="Aptos" w:hAnsi="Aptos"/>
          <w:noProof/>
        </w:rPr>
        <w:drawing>
          <wp:inline distT="0" distB="0" distL="0" distR="0" wp14:anchorId="5BF1AF18" wp14:editId="297813E0">
            <wp:extent cx="5731510" cy="2085340"/>
            <wp:effectExtent l="0" t="0" r="2540" b="0"/>
            <wp:docPr id="2" name="Picture 1" descr="Percentage of staff experiencing harassment, bullying or abuse from patients or service users, their relatives or the public in the last 12 months. ">
              <a:extLst xmlns:a="http://schemas.openxmlformats.org/drawingml/2006/main">
                <a:ext uri="{FF2B5EF4-FFF2-40B4-BE49-F238E27FC236}">
                  <a16:creationId xmlns:a16="http://schemas.microsoft.com/office/drawing/2014/main" id="{47DA478D-3418-FD59-A014-0922CD9D3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rcentage of staff experiencing harassment, bullying or abuse from patients or service users, their relatives or the public in the last 12 months. ">
                      <a:extLst>
                        <a:ext uri="{FF2B5EF4-FFF2-40B4-BE49-F238E27FC236}">
                          <a16:creationId xmlns:a16="http://schemas.microsoft.com/office/drawing/2014/main" id="{47DA478D-3418-FD59-A014-0922CD9D328C}"/>
                        </a:ext>
                      </a:extLst>
                    </pic:cNvPr>
                    <pic:cNvPicPr>
                      <a:picLocks noChangeAspect="1"/>
                    </pic:cNvPicPr>
                  </pic:nvPicPr>
                  <pic:blipFill>
                    <a:blip r:embed="rId14"/>
                    <a:stretch>
                      <a:fillRect/>
                    </a:stretch>
                  </pic:blipFill>
                  <pic:spPr>
                    <a:xfrm>
                      <a:off x="0" y="0"/>
                      <a:ext cx="5731510" cy="2085340"/>
                    </a:xfrm>
                    <a:prstGeom prst="rect">
                      <a:avLst/>
                    </a:prstGeom>
                  </pic:spPr>
                </pic:pic>
              </a:graphicData>
            </a:graphic>
          </wp:inline>
        </w:drawing>
      </w:r>
    </w:p>
    <w:p w14:paraId="08E19AE2" w14:textId="77777777" w:rsidR="008519B6" w:rsidRPr="00F057FA" w:rsidRDefault="008519B6" w:rsidP="00F057FA">
      <w:pPr>
        <w:spacing w:after="0" w:line="240" w:lineRule="auto"/>
        <w:rPr>
          <w:rFonts w:ascii="Aptos" w:hAnsi="Aptos"/>
        </w:rPr>
      </w:pPr>
    </w:p>
    <w:p w14:paraId="51FF8E37" w14:textId="74965661" w:rsidR="008519B6" w:rsidRPr="00F057FA" w:rsidRDefault="008519B6" w:rsidP="00F057FA">
      <w:pPr>
        <w:pStyle w:val="Heading1"/>
        <w:spacing w:before="0" w:after="0" w:line="240" w:lineRule="auto"/>
        <w:rPr>
          <w:rFonts w:ascii="Aptos" w:hAnsi="Aptos"/>
        </w:rPr>
      </w:pPr>
      <w:bookmarkStart w:id="10" w:name="_Toc198627462"/>
      <w:r w:rsidRPr="00F057FA">
        <w:rPr>
          <w:rFonts w:ascii="Aptos" w:hAnsi="Aptos"/>
        </w:rPr>
        <w:t>Metric 4</w:t>
      </w:r>
      <w:r w:rsidR="00F2501F" w:rsidRPr="00F057FA">
        <w:rPr>
          <w:rFonts w:ascii="Aptos" w:hAnsi="Aptos"/>
        </w:rPr>
        <w:t>a</w:t>
      </w:r>
      <w:r w:rsidRPr="00F057FA">
        <w:rPr>
          <w:rFonts w:ascii="Aptos" w:hAnsi="Aptos"/>
        </w:rPr>
        <w:t xml:space="preserve"> - Percentage of staff experiencing harassment, bullying or abuse from managers</w:t>
      </w:r>
      <w:bookmarkEnd w:id="10"/>
    </w:p>
    <w:p w14:paraId="2E65D249" w14:textId="1D9B1159" w:rsidR="00F2501F" w:rsidRDefault="00F2501F" w:rsidP="00F057FA">
      <w:pPr>
        <w:pStyle w:val="NormalWeb"/>
        <w:spacing w:before="0" w:beforeAutospacing="0" w:after="0" w:afterAutospacing="0"/>
        <w:rPr>
          <w:rFonts w:ascii="Aptos" w:hAnsi="Aptos" w:cs="Arial"/>
        </w:rPr>
      </w:pPr>
      <w:bookmarkStart w:id="11" w:name="_Hlk195607027"/>
      <w:r w:rsidRPr="00F057FA">
        <w:rPr>
          <w:rFonts w:ascii="Aptos" w:hAnsi="Aptos" w:cs="Arial"/>
        </w:rPr>
        <w:t xml:space="preserve">In 2024, </w:t>
      </w:r>
      <w:r w:rsidRPr="00F057FA">
        <w:rPr>
          <w:rStyle w:val="Strong"/>
          <w:rFonts w:ascii="Aptos" w:eastAsiaTheme="majorEastAsia" w:hAnsi="Aptos" w:cs="Arial"/>
        </w:rPr>
        <w:t>15.8%</w:t>
      </w:r>
      <w:r w:rsidRPr="00F057FA">
        <w:rPr>
          <w:rFonts w:ascii="Aptos" w:hAnsi="Aptos" w:cs="Arial"/>
        </w:rPr>
        <w:t xml:space="preserve"> of staff with a long-term condition or illness reported experiencing harassment, bullying, or abuse from managers, representing </w:t>
      </w:r>
      <w:bookmarkStart w:id="12" w:name="_Hlk211974735"/>
      <w:r w:rsidRPr="00F057FA">
        <w:rPr>
          <w:rFonts w:ascii="Aptos" w:hAnsi="Aptos" w:cs="Arial"/>
        </w:rPr>
        <w:t>an improvement from the previous year, which was 18.6%</w:t>
      </w:r>
    </w:p>
    <w:bookmarkEnd w:id="12"/>
    <w:p w14:paraId="67DBE269" w14:textId="77777777" w:rsidR="000F53A3" w:rsidRPr="00F057FA" w:rsidRDefault="000F53A3" w:rsidP="00F057FA">
      <w:pPr>
        <w:pStyle w:val="NormalWeb"/>
        <w:spacing w:before="0" w:beforeAutospacing="0" w:after="0" w:afterAutospacing="0"/>
        <w:rPr>
          <w:rStyle w:val="Strong"/>
          <w:rFonts w:ascii="Aptos" w:eastAsiaTheme="majorEastAsia" w:hAnsi="Aptos" w:cs="Arial"/>
        </w:rPr>
      </w:pPr>
    </w:p>
    <w:p w14:paraId="1611DC8E" w14:textId="76F387A3" w:rsidR="008519B6" w:rsidRPr="00F057FA" w:rsidRDefault="00F2501F" w:rsidP="00F057FA">
      <w:pPr>
        <w:spacing w:after="0" w:line="240" w:lineRule="auto"/>
        <w:rPr>
          <w:rFonts w:ascii="Aptos" w:hAnsi="Aptos"/>
        </w:rPr>
      </w:pPr>
      <w:r w:rsidRPr="00F057FA">
        <w:rPr>
          <w:rFonts w:ascii="Aptos" w:hAnsi="Aptos"/>
          <w:noProof/>
        </w:rPr>
        <w:drawing>
          <wp:inline distT="0" distB="0" distL="0" distR="0" wp14:anchorId="77A77C4F" wp14:editId="74C1835B">
            <wp:extent cx="5731510" cy="2119630"/>
            <wp:effectExtent l="0" t="0" r="2540" b="0"/>
            <wp:docPr id="5" name="Picture 4" descr="Percentage of staff experiencing harrassment, bullying or abuse from managers in the past 12 months. An improvement from the previous year, which was 18.6% 15.8% (in 2024)">
              <a:extLst xmlns:a="http://schemas.openxmlformats.org/drawingml/2006/main">
                <a:ext uri="{FF2B5EF4-FFF2-40B4-BE49-F238E27FC236}">
                  <a16:creationId xmlns:a16="http://schemas.microsoft.com/office/drawing/2014/main" id="{9D021D1D-6924-E638-1445-F6A8535F8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ercentage of staff experiencing harrassment, bullying or abuse from managers in the past 12 months. An improvement from the previous year, which was 18.6% 15.8% (in 2024)">
                      <a:extLst>
                        <a:ext uri="{FF2B5EF4-FFF2-40B4-BE49-F238E27FC236}">
                          <a16:creationId xmlns:a16="http://schemas.microsoft.com/office/drawing/2014/main" id="{9D021D1D-6924-E638-1445-F6A8535F87B9}"/>
                        </a:ext>
                      </a:extLst>
                    </pic:cNvPr>
                    <pic:cNvPicPr>
                      <a:picLocks noChangeAspect="1"/>
                    </pic:cNvPicPr>
                  </pic:nvPicPr>
                  <pic:blipFill>
                    <a:blip r:embed="rId15"/>
                    <a:stretch>
                      <a:fillRect/>
                    </a:stretch>
                  </pic:blipFill>
                  <pic:spPr>
                    <a:xfrm>
                      <a:off x="0" y="0"/>
                      <a:ext cx="5731510" cy="2119630"/>
                    </a:xfrm>
                    <a:prstGeom prst="rect">
                      <a:avLst/>
                    </a:prstGeom>
                  </pic:spPr>
                </pic:pic>
              </a:graphicData>
            </a:graphic>
          </wp:inline>
        </w:drawing>
      </w:r>
    </w:p>
    <w:p w14:paraId="4646EA49" w14:textId="77777777" w:rsidR="008519B6" w:rsidRPr="00F057FA" w:rsidRDefault="008519B6" w:rsidP="00F057FA">
      <w:pPr>
        <w:spacing w:after="0" w:line="240" w:lineRule="auto"/>
        <w:rPr>
          <w:rFonts w:ascii="Aptos" w:hAnsi="Aptos"/>
        </w:rPr>
      </w:pPr>
    </w:p>
    <w:tbl>
      <w:tblPr>
        <w:tblW w:w="9500" w:type="dxa"/>
        <w:tblLook w:val="04A0" w:firstRow="1" w:lastRow="0" w:firstColumn="1" w:lastColumn="0" w:noHBand="0" w:noVBand="1"/>
      </w:tblPr>
      <w:tblGrid>
        <w:gridCol w:w="4680"/>
        <w:gridCol w:w="960"/>
        <w:gridCol w:w="960"/>
        <w:gridCol w:w="980"/>
        <w:gridCol w:w="960"/>
        <w:gridCol w:w="960"/>
      </w:tblGrid>
      <w:tr w:rsidR="00F2501F" w:rsidRPr="00F057FA" w14:paraId="5BAA6D72" w14:textId="77777777" w:rsidTr="00F2501F">
        <w:trPr>
          <w:trHeight w:val="290"/>
        </w:trPr>
        <w:tc>
          <w:tcPr>
            <w:tcW w:w="4680" w:type="dxa"/>
            <w:tcBorders>
              <w:top w:val="single" w:sz="4" w:space="0" w:color="auto"/>
              <w:left w:val="single" w:sz="4" w:space="0" w:color="auto"/>
              <w:bottom w:val="single" w:sz="4" w:space="0" w:color="auto"/>
              <w:right w:val="single" w:sz="4" w:space="0" w:color="auto"/>
            </w:tcBorders>
            <w:noWrap/>
            <w:vAlign w:val="bottom"/>
            <w:hideMark/>
          </w:tcPr>
          <w:bookmarkEnd w:id="11"/>
          <w:p w14:paraId="7370E562" w14:textId="77777777" w:rsidR="00F2501F" w:rsidRPr="00F057FA" w:rsidRDefault="00F2501F"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4D1CDBB5" w14:textId="77777777" w:rsidR="00F2501F" w:rsidRPr="00F057FA" w:rsidRDefault="00F2501F"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67259960" w14:textId="77777777" w:rsidR="00F2501F" w:rsidRPr="00F057FA" w:rsidRDefault="00F2501F"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80" w:type="dxa"/>
            <w:tcBorders>
              <w:top w:val="single" w:sz="4" w:space="0" w:color="auto"/>
              <w:left w:val="nil"/>
              <w:bottom w:val="single" w:sz="4" w:space="0" w:color="auto"/>
              <w:right w:val="single" w:sz="4" w:space="0" w:color="auto"/>
            </w:tcBorders>
            <w:noWrap/>
            <w:vAlign w:val="bottom"/>
            <w:hideMark/>
          </w:tcPr>
          <w:p w14:paraId="2879E3EC" w14:textId="77777777" w:rsidR="00F2501F" w:rsidRPr="00F057FA" w:rsidRDefault="00F2501F"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6729ABB9" w14:textId="77777777" w:rsidR="00F2501F" w:rsidRPr="00F057FA" w:rsidRDefault="00F2501F"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44ADD3FD" w14:textId="77777777" w:rsidR="00F2501F" w:rsidRPr="00F057FA" w:rsidRDefault="00F2501F"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F2501F" w:rsidRPr="00F057FA" w14:paraId="24108064"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343594C4"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069901B1"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22.99%</w:t>
            </w:r>
          </w:p>
        </w:tc>
        <w:tc>
          <w:tcPr>
            <w:tcW w:w="960" w:type="dxa"/>
            <w:tcBorders>
              <w:top w:val="nil"/>
              <w:left w:val="nil"/>
              <w:bottom w:val="single" w:sz="4" w:space="0" w:color="auto"/>
              <w:right w:val="single" w:sz="4" w:space="0" w:color="auto"/>
            </w:tcBorders>
            <w:noWrap/>
            <w:vAlign w:val="bottom"/>
            <w:hideMark/>
          </w:tcPr>
          <w:p w14:paraId="36E298A7"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23.58%</w:t>
            </w:r>
          </w:p>
        </w:tc>
        <w:tc>
          <w:tcPr>
            <w:tcW w:w="980" w:type="dxa"/>
            <w:tcBorders>
              <w:top w:val="nil"/>
              <w:left w:val="nil"/>
              <w:bottom w:val="single" w:sz="4" w:space="0" w:color="auto"/>
              <w:right w:val="single" w:sz="4" w:space="0" w:color="auto"/>
            </w:tcBorders>
            <w:noWrap/>
            <w:vAlign w:val="bottom"/>
            <w:hideMark/>
          </w:tcPr>
          <w:p w14:paraId="2E06FEBC"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19.45%</w:t>
            </w:r>
          </w:p>
        </w:tc>
        <w:tc>
          <w:tcPr>
            <w:tcW w:w="960" w:type="dxa"/>
            <w:tcBorders>
              <w:top w:val="nil"/>
              <w:left w:val="nil"/>
              <w:bottom w:val="single" w:sz="4" w:space="0" w:color="auto"/>
              <w:right w:val="single" w:sz="4" w:space="0" w:color="auto"/>
            </w:tcBorders>
            <w:noWrap/>
            <w:vAlign w:val="bottom"/>
            <w:hideMark/>
          </w:tcPr>
          <w:p w14:paraId="5D673163"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18.62%</w:t>
            </w:r>
          </w:p>
        </w:tc>
        <w:tc>
          <w:tcPr>
            <w:tcW w:w="960" w:type="dxa"/>
            <w:tcBorders>
              <w:top w:val="nil"/>
              <w:left w:val="nil"/>
              <w:bottom w:val="single" w:sz="4" w:space="0" w:color="auto"/>
              <w:right w:val="single" w:sz="4" w:space="0" w:color="auto"/>
            </w:tcBorders>
            <w:noWrap/>
            <w:vAlign w:val="bottom"/>
            <w:hideMark/>
          </w:tcPr>
          <w:p w14:paraId="5ADE7A8E"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15.79%</w:t>
            </w:r>
          </w:p>
        </w:tc>
      </w:tr>
      <w:tr w:rsidR="00F2501F" w:rsidRPr="00F057FA" w14:paraId="4800240B"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281A37E6"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10DF358B"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12.36%</w:t>
            </w:r>
          </w:p>
        </w:tc>
        <w:tc>
          <w:tcPr>
            <w:tcW w:w="960" w:type="dxa"/>
            <w:tcBorders>
              <w:top w:val="nil"/>
              <w:left w:val="nil"/>
              <w:bottom w:val="single" w:sz="4" w:space="0" w:color="auto"/>
              <w:right w:val="single" w:sz="4" w:space="0" w:color="auto"/>
            </w:tcBorders>
            <w:noWrap/>
            <w:vAlign w:val="bottom"/>
            <w:hideMark/>
          </w:tcPr>
          <w:p w14:paraId="5E15D7CE"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12.34%</w:t>
            </w:r>
          </w:p>
        </w:tc>
        <w:tc>
          <w:tcPr>
            <w:tcW w:w="980" w:type="dxa"/>
            <w:tcBorders>
              <w:top w:val="nil"/>
              <w:left w:val="nil"/>
              <w:bottom w:val="single" w:sz="4" w:space="0" w:color="auto"/>
              <w:right w:val="single" w:sz="4" w:space="0" w:color="auto"/>
            </w:tcBorders>
            <w:noWrap/>
            <w:vAlign w:val="bottom"/>
            <w:hideMark/>
          </w:tcPr>
          <w:p w14:paraId="0704F087"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10.66%</w:t>
            </w:r>
          </w:p>
        </w:tc>
        <w:tc>
          <w:tcPr>
            <w:tcW w:w="960" w:type="dxa"/>
            <w:tcBorders>
              <w:top w:val="nil"/>
              <w:left w:val="nil"/>
              <w:bottom w:val="single" w:sz="4" w:space="0" w:color="auto"/>
              <w:right w:val="single" w:sz="4" w:space="0" w:color="auto"/>
            </w:tcBorders>
            <w:noWrap/>
            <w:vAlign w:val="bottom"/>
            <w:hideMark/>
          </w:tcPr>
          <w:p w14:paraId="638C13BA"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8.88%</w:t>
            </w:r>
          </w:p>
        </w:tc>
        <w:tc>
          <w:tcPr>
            <w:tcW w:w="960" w:type="dxa"/>
            <w:tcBorders>
              <w:top w:val="nil"/>
              <w:left w:val="nil"/>
              <w:bottom w:val="single" w:sz="4" w:space="0" w:color="auto"/>
              <w:right w:val="single" w:sz="4" w:space="0" w:color="auto"/>
            </w:tcBorders>
            <w:noWrap/>
            <w:vAlign w:val="bottom"/>
            <w:hideMark/>
          </w:tcPr>
          <w:p w14:paraId="0FDDB89D"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7.47%</w:t>
            </w:r>
          </w:p>
        </w:tc>
      </w:tr>
      <w:tr w:rsidR="00F2501F" w:rsidRPr="00F057FA" w14:paraId="207C2F29"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48739F00"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16A79726"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19.35%</w:t>
            </w:r>
          </w:p>
        </w:tc>
        <w:tc>
          <w:tcPr>
            <w:tcW w:w="960" w:type="dxa"/>
            <w:tcBorders>
              <w:top w:val="nil"/>
              <w:left w:val="nil"/>
              <w:bottom w:val="single" w:sz="4" w:space="0" w:color="auto"/>
              <w:right w:val="single" w:sz="4" w:space="0" w:color="auto"/>
            </w:tcBorders>
            <w:noWrap/>
            <w:vAlign w:val="bottom"/>
            <w:hideMark/>
          </w:tcPr>
          <w:p w14:paraId="365E3F9B"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18.00%</w:t>
            </w:r>
          </w:p>
        </w:tc>
        <w:tc>
          <w:tcPr>
            <w:tcW w:w="980" w:type="dxa"/>
            <w:tcBorders>
              <w:top w:val="nil"/>
              <w:left w:val="nil"/>
              <w:bottom w:val="single" w:sz="4" w:space="0" w:color="auto"/>
              <w:right w:val="single" w:sz="4" w:space="0" w:color="auto"/>
            </w:tcBorders>
            <w:noWrap/>
            <w:vAlign w:val="bottom"/>
            <w:hideMark/>
          </w:tcPr>
          <w:p w14:paraId="58BAFCFE"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17.09%</w:t>
            </w:r>
          </w:p>
        </w:tc>
        <w:tc>
          <w:tcPr>
            <w:tcW w:w="960" w:type="dxa"/>
            <w:tcBorders>
              <w:top w:val="nil"/>
              <w:left w:val="nil"/>
              <w:bottom w:val="single" w:sz="4" w:space="0" w:color="auto"/>
              <w:right w:val="single" w:sz="4" w:space="0" w:color="auto"/>
            </w:tcBorders>
            <w:noWrap/>
            <w:vAlign w:val="bottom"/>
            <w:hideMark/>
          </w:tcPr>
          <w:p w14:paraId="18887464"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15.33%</w:t>
            </w:r>
          </w:p>
        </w:tc>
        <w:tc>
          <w:tcPr>
            <w:tcW w:w="960" w:type="dxa"/>
            <w:tcBorders>
              <w:top w:val="nil"/>
              <w:left w:val="nil"/>
              <w:bottom w:val="single" w:sz="4" w:space="0" w:color="auto"/>
              <w:right w:val="single" w:sz="4" w:space="0" w:color="auto"/>
            </w:tcBorders>
            <w:noWrap/>
            <w:vAlign w:val="bottom"/>
            <w:hideMark/>
          </w:tcPr>
          <w:p w14:paraId="45E5EB2E"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15.10%</w:t>
            </w:r>
          </w:p>
        </w:tc>
      </w:tr>
      <w:tr w:rsidR="00F2501F" w:rsidRPr="00F057FA" w14:paraId="6A7C8D36"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5729FD80"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00EF0DE4"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10.78%</w:t>
            </w:r>
          </w:p>
        </w:tc>
        <w:tc>
          <w:tcPr>
            <w:tcW w:w="960" w:type="dxa"/>
            <w:tcBorders>
              <w:top w:val="nil"/>
              <w:left w:val="nil"/>
              <w:bottom w:val="single" w:sz="4" w:space="0" w:color="auto"/>
              <w:right w:val="single" w:sz="4" w:space="0" w:color="auto"/>
            </w:tcBorders>
            <w:noWrap/>
            <w:vAlign w:val="bottom"/>
            <w:hideMark/>
          </w:tcPr>
          <w:p w14:paraId="6DF49700"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9.77%</w:t>
            </w:r>
          </w:p>
        </w:tc>
        <w:tc>
          <w:tcPr>
            <w:tcW w:w="980" w:type="dxa"/>
            <w:tcBorders>
              <w:top w:val="nil"/>
              <w:left w:val="nil"/>
              <w:bottom w:val="single" w:sz="4" w:space="0" w:color="auto"/>
              <w:right w:val="single" w:sz="4" w:space="0" w:color="auto"/>
            </w:tcBorders>
            <w:noWrap/>
            <w:vAlign w:val="bottom"/>
            <w:hideMark/>
          </w:tcPr>
          <w:p w14:paraId="5B51DD86"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9.88%</w:t>
            </w:r>
          </w:p>
        </w:tc>
        <w:tc>
          <w:tcPr>
            <w:tcW w:w="960" w:type="dxa"/>
            <w:tcBorders>
              <w:top w:val="nil"/>
              <w:left w:val="nil"/>
              <w:bottom w:val="single" w:sz="4" w:space="0" w:color="auto"/>
              <w:right w:val="single" w:sz="4" w:space="0" w:color="auto"/>
            </w:tcBorders>
            <w:noWrap/>
            <w:vAlign w:val="bottom"/>
            <w:hideMark/>
          </w:tcPr>
          <w:p w14:paraId="6EAC5317"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8.56%</w:t>
            </w:r>
          </w:p>
        </w:tc>
        <w:tc>
          <w:tcPr>
            <w:tcW w:w="960" w:type="dxa"/>
            <w:tcBorders>
              <w:top w:val="nil"/>
              <w:left w:val="nil"/>
              <w:bottom w:val="single" w:sz="4" w:space="0" w:color="auto"/>
              <w:right w:val="single" w:sz="4" w:space="0" w:color="auto"/>
            </w:tcBorders>
            <w:noWrap/>
            <w:vAlign w:val="bottom"/>
            <w:hideMark/>
          </w:tcPr>
          <w:p w14:paraId="63FC8B65"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8.08%</w:t>
            </w:r>
          </w:p>
        </w:tc>
      </w:tr>
      <w:tr w:rsidR="00F2501F" w:rsidRPr="00F057FA" w14:paraId="3EB8B16A"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4742438F"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542690DA"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509</w:t>
            </w:r>
          </w:p>
        </w:tc>
        <w:tc>
          <w:tcPr>
            <w:tcW w:w="960" w:type="dxa"/>
            <w:tcBorders>
              <w:top w:val="nil"/>
              <w:left w:val="nil"/>
              <w:bottom w:val="single" w:sz="4" w:space="0" w:color="auto"/>
              <w:right w:val="single" w:sz="4" w:space="0" w:color="auto"/>
            </w:tcBorders>
            <w:noWrap/>
            <w:vAlign w:val="bottom"/>
            <w:hideMark/>
          </w:tcPr>
          <w:p w14:paraId="668FD51B"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615</w:t>
            </w:r>
          </w:p>
        </w:tc>
        <w:tc>
          <w:tcPr>
            <w:tcW w:w="980" w:type="dxa"/>
            <w:tcBorders>
              <w:top w:val="nil"/>
              <w:left w:val="nil"/>
              <w:bottom w:val="single" w:sz="4" w:space="0" w:color="auto"/>
              <w:right w:val="single" w:sz="4" w:space="0" w:color="auto"/>
            </w:tcBorders>
            <w:noWrap/>
            <w:vAlign w:val="bottom"/>
            <w:hideMark/>
          </w:tcPr>
          <w:p w14:paraId="36EF6BD0"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586</w:t>
            </w:r>
          </w:p>
        </w:tc>
        <w:tc>
          <w:tcPr>
            <w:tcW w:w="960" w:type="dxa"/>
            <w:tcBorders>
              <w:top w:val="nil"/>
              <w:left w:val="nil"/>
              <w:bottom w:val="single" w:sz="4" w:space="0" w:color="auto"/>
              <w:right w:val="single" w:sz="4" w:space="0" w:color="auto"/>
            </w:tcBorders>
            <w:noWrap/>
            <w:vAlign w:val="bottom"/>
            <w:hideMark/>
          </w:tcPr>
          <w:p w14:paraId="1A07DFD5"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485</w:t>
            </w:r>
          </w:p>
        </w:tc>
        <w:tc>
          <w:tcPr>
            <w:tcW w:w="960" w:type="dxa"/>
            <w:tcBorders>
              <w:top w:val="nil"/>
              <w:left w:val="nil"/>
              <w:bottom w:val="single" w:sz="4" w:space="0" w:color="auto"/>
              <w:right w:val="single" w:sz="4" w:space="0" w:color="auto"/>
            </w:tcBorders>
            <w:noWrap/>
            <w:vAlign w:val="bottom"/>
            <w:hideMark/>
          </w:tcPr>
          <w:p w14:paraId="3B22BCFB"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627</w:t>
            </w:r>
          </w:p>
        </w:tc>
      </w:tr>
      <w:tr w:rsidR="00F2501F" w:rsidRPr="00F057FA" w14:paraId="14E349F9" w14:textId="77777777" w:rsidTr="00F2501F">
        <w:trPr>
          <w:trHeight w:val="290"/>
        </w:trPr>
        <w:tc>
          <w:tcPr>
            <w:tcW w:w="4680" w:type="dxa"/>
            <w:tcBorders>
              <w:top w:val="nil"/>
              <w:left w:val="single" w:sz="4" w:space="0" w:color="auto"/>
              <w:bottom w:val="single" w:sz="4" w:space="0" w:color="auto"/>
              <w:right w:val="single" w:sz="4" w:space="0" w:color="auto"/>
            </w:tcBorders>
            <w:noWrap/>
            <w:vAlign w:val="bottom"/>
            <w:hideMark/>
          </w:tcPr>
          <w:p w14:paraId="4E7B0D3E" w14:textId="77777777" w:rsidR="00F2501F" w:rsidRPr="00F057FA" w:rsidRDefault="00F2501F"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61B7E647"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2103</w:t>
            </w:r>
          </w:p>
        </w:tc>
        <w:tc>
          <w:tcPr>
            <w:tcW w:w="960" w:type="dxa"/>
            <w:tcBorders>
              <w:top w:val="nil"/>
              <w:left w:val="nil"/>
              <w:bottom w:val="single" w:sz="4" w:space="0" w:color="auto"/>
              <w:right w:val="single" w:sz="4" w:space="0" w:color="auto"/>
            </w:tcBorders>
            <w:noWrap/>
            <w:vAlign w:val="bottom"/>
            <w:hideMark/>
          </w:tcPr>
          <w:p w14:paraId="670A1B11"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2140</w:t>
            </w:r>
          </w:p>
        </w:tc>
        <w:tc>
          <w:tcPr>
            <w:tcW w:w="980" w:type="dxa"/>
            <w:tcBorders>
              <w:top w:val="nil"/>
              <w:left w:val="nil"/>
              <w:bottom w:val="single" w:sz="4" w:space="0" w:color="auto"/>
              <w:right w:val="single" w:sz="4" w:space="0" w:color="auto"/>
            </w:tcBorders>
            <w:noWrap/>
            <w:vAlign w:val="bottom"/>
            <w:hideMark/>
          </w:tcPr>
          <w:p w14:paraId="09BD3CE3"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2166</w:t>
            </w:r>
          </w:p>
        </w:tc>
        <w:tc>
          <w:tcPr>
            <w:tcW w:w="960" w:type="dxa"/>
            <w:tcBorders>
              <w:top w:val="nil"/>
              <w:left w:val="nil"/>
              <w:bottom w:val="single" w:sz="4" w:space="0" w:color="auto"/>
              <w:right w:val="single" w:sz="4" w:space="0" w:color="auto"/>
            </w:tcBorders>
            <w:noWrap/>
            <w:vAlign w:val="bottom"/>
            <w:hideMark/>
          </w:tcPr>
          <w:p w14:paraId="3BD57E8C"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1578</w:t>
            </w:r>
          </w:p>
        </w:tc>
        <w:tc>
          <w:tcPr>
            <w:tcW w:w="960" w:type="dxa"/>
            <w:tcBorders>
              <w:top w:val="nil"/>
              <w:left w:val="nil"/>
              <w:bottom w:val="single" w:sz="4" w:space="0" w:color="auto"/>
              <w:right w:val="single" w:sz="4" w:space="0" w:color="auto"/>
            </w:tcBorders>
            <w:noWrap/>
            <w:vAlign w:val="bottom"/>
            <w:hideMark/>
          </w:tcPr>
          <w:p w14:paraId="08648F8A" w14:textId="77777777" w:rsidR="00F2501F" w:rsidRPr="00F057FA" w:rsidRDefault="00F2501F"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2021</w:t>
            </w:r>
          </w:p>
        </w:tc>
      </w:tr>
    </w:tbl>
    <w:p w14:paraId="0A20A567" w14:textId="77777777" w:rsidR="008519B6" w:rsidRPr="00F057FA" w:rsidRDefault="008519B6" w:rsidP="00F057FA">
      <w:pPr>
        <w:spacing w:after="0" w:line="240" w:lineRule="auto"/>
        <w:rPr>
          <w:rFonts w:ascii="Aptos" w:hAnsi="Aptos"/>
        </w:rPr>
      </w:pPr>
    </w:p>
    <w:p w14:paraId="217628BA" w14:textId="77777777" w:rsidR="008519B6" w:rsidRPr="00F057FA" w:rsidRDefault="008519B6" w:rsidP="00F057FA">
      <w:pPr>
        <w:spacing w:after="0" w:line="240" w:lineRule="auto"/>
        <w:rPr>
          <w:rFonts w:ascii="Aptos" w:hAnsi="Aptos"/>
        </w:rPr>
      </w:pPr>
    </w:p>
    <w:p w14:paraId="4D0525E9" w14:textId="77777777" w:rsidR="008519B6" w:rsidRPr="00F057FA" w:rsidRDefault="008519B6" w:rsidP="00F057FA">
      <w:pPr>
        <w:spacing w:after="0" w:line="240" w:lineRule="auto"/>
        <w:rPr>
          <w:rFonts w:ascii="Aptos" w:hAnsi="Aptos"/>
        </w:rPr>
      </w:pPr>
    </w:p>
    <w:p w14:paraId="598C3A47" w14:textId="77777777" w:rsidR="008519B6" w:rsidRPr="00F057FA" w:rsidRDefault="008519B6" w:rsidP="00F057FA">
      <w:pPr>
        <w:spacing w:after="0" w:line="240" w:lineRule="auto"/>
        <w:rPr>
          <w:rFonts w:ascii="Aptos" w:hAnsi="Aptos"/>
        </w:rPr>
      </w:pPr>
    </w:p>
    <w:p w14:paraId="73A49F70" w14:textId="77777777" w:rsidR="008519B6" w:rsidRPr="00F057FA" w:rsidRDefault="008519B6" w:rsidP="00F057FA">
      <w:pPr>
        <w:spacing w:after="0" w:line="240" w:lineRule="auto"/>
        <w:rPr>
          <w:rFonts w:ascii="Aptos" w:hAnsi="Aptos"/>
        </w:rPr>
      </w:pPr>
    </w:p>
    <w:p w14:paraId="0D85903D" w14:textId="77777777" w:rsidR="008519B6" w:rsidRPr="00F057FA" w:rsidRDefault="008519B6" w:rsidP="00F057FA">
      <w:pPr>
        <w:spacing w:after="0" w:line="240" w:lineRule="auto"/>
        <w:rPr>
          <w:rFonts w:ascii="Aptos" w:hAnsi="Aptos"/>
        </w:rPr>
      </w:pPr>
    </w:p>
    <w:p w14:paraId="57FB3413" w14:textId="77777777" w:rsidR="008519B6" w:rsidRPr="00F057FA" w:rsidRDefault="008519B6" w:rsidP="00F057FA">
      <w:pPr>
        <w:pStyle w:val="Heading1"/>
        <w:spacing w:before="0" w:after="0" w:line="240" w:lineRule="auto"/>
        <w:rPr>
          <w:rFonts w:ascii="Aptos" w:hAnsi="Aptos"/>
        </w:rPr>
      </w:pPr>
      <w:bookmarkStart w:id="13" w:name="_Toc198627463"/>
      <w:r w:rsidRPr="00F057FA">
        <w:rPr>
          <w:rFonts w:ascii="Aptos" w:hAnsi="Aptos"/>
        </w:rPr>
        <w:lastRenderedPageBreak/>
        <w:t>Metric 4 - Percentage of staff experiencing harassment, bullying or abuse from other colleagues</w:t>
      </w:r>
      <w:bookmarkEnd w:id="13"/>
    </w:p>
    <w:p w14:paraId="5B09946B" w14:textId="49D661DB" w:rsidR="008519B6" w:rsidRDefault="008519B6" w:rsidP="00F057FA">
      <w:pPr>
        <w:spacing w:after="0" w:line="240" w:lineRule="auto"/>
        <w:rPr>
          <w:rFonts w:ascii="Aptos" w:hAnsi="Aptos"/>
        </w:rPr>
      </w:pPr>
      <w:r w:rsidRPr="00F057FA">
        <w:rPr>
          <w:rFonts w:ascii="Aptos" w:hAnsi="Aptos"/>
        </w:rPr>
        <w:t xml:space="preserve">In 2024, </w:t>
      </w:r>
      <w:r w:rsidR="00925A98" w:rsidRPr="00F057FA">
        <w:rPr>
          <w:rFonts w:ascii="Aptos" w:hAnsi="Aptos"/>
        </w:rPr>
        <w:t>23.63%</w:t>
      </w:r>
      <w:r w:rsidRPr="00F057FA">
        <w:rPr>
          <w:rFonts w:ascii="Aptos" w:hAnsi="Aptos"/>
        </w:rPr>
        <w:t xml:space="preserve"> of staff with a long-term condition or illness reported experiencing harassment, bullying, or abuse from colleagues, maintaining the same level as the previous</w:t>
      </w:r>
      <w:r w:rsidR="00925A98" w:rsidRPr="00F057FA">
        <w:rPr>
          <w:rFonts w:ascii="Aptos" w:hAnsi="Aptos"/>
        </w:rPr>
        <w:t xml:space="preserve"> year.</w:t>
      </w:r>
      <w:r w:rsidRPr="00F057FA">
        <w:rPr>
          <w:rFonts w:ascii="Aptos" w:hAnsi="Aptos"/>
        </w:rPr>
        <w:t xml:space="preserve"> In comparison, </w:t>
      </w:r>
      <w:r w:rsidR="00925A98" w:rsidRPr="00F057FA">
        <w:rPr>
          <w:rFonts w:ascii="Aptos" w:hAnsi="Aptos"/>
        </w:rPr>
        <w:t>15% of</w:t>
      </w:r>
      <w:r w:rsidRPr="00F057FA">
        <w:rPr>
          <w:rFonts w:ascii="Aptos" w:hAnsi="Aptos"/>
        </w:rPr>
        <w:t xml:space="preserve"> staff without a long-term condition or illness faced similar incidents, which remained unchanged from 2023.</w:t>
      </w:r>
    </w:p>
    <w:p w14:paraId="2746EFC3" w14:textId="77777777" w:rsidR="000F53A3" w:rsidRPr="00F057FA" w:rsidRDefault="000F53A3" w:rsidP="00F057FA">
      <w:pPr>
        <w:spacing w:after="0" w:line="240" w:lineRule="auto"/>
        <w:rPr>
          <w:rFonts w:ascii="Aptos" w:hAnsi="Aptos"/>
        </w:rPr>
      </w:pPr>
    </w:p>
    <w:p w14:paraId="198FACB5" w14:textId="0AC6C9D9" w:rsidR="008519B6" w:rsidRPr="00F057FA" w:rsidRDefault="00925A98" w:rsidP="00F057FA">
      <w:pPr>
        <w:spacing w:after="0" w:line="240" w:lineRule="auto"/>
        <w:rPr>
          <w:rFonts w:ascii="Aptos" w:hAnsi="Aptos"/>
        </w:rPr>
      </w:pPr>
      <w:r w:rsidRPr="00F057FA">
        <w:rPr>
          <w:rFonts w:ascii="Aptos" w:hAnsi="Aptos"/>
          <w:noProof/>
        </w:rPr>
        <w:drawing>
          <wp:inline distT="0" distB="0" distL="0" distR="0" wp14:anchorId="073A2E8D" wp14:editId="0D0AEBA5">
            <wp:extent cx="5731510" cy="2109470"/>
            <wp:effectExtent l="0" t="0" r="2540" b="5080"/>
            <wp:docPr id="7" name="Picture 6" descr="23.63% of staff with a long-term condition or illness reported experiencing harassment, bullying, or abuse from colleagues, maintaining the same level as the previous year. 15% of staff without a long-term condition or illness faced similar incidents, which remained unchanged from 2023.&#10;&#10;">
              <a:extLst xmlns:a="http://schemas.openxmlformats.org/drawingml/2006/main">
                <a:ext uri="{FF2B5EF4-FFF2-40B4-BE49-F238E27FC236}">
                  <a16:creationId xmlns:a16="http://schemas.microsoft.com/office/drawing/2014/main" id="{4C54A6C6-484A-07D9-4F83-F6312DF18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3.63% of staff with a long-term condition or illness reported experiencing harassment, bullying, or abuse from colleagues, maintaining the same level as the previous year. 15% of staff without a long-term condition or illness faced similar incidents, which remained unchanged from 2023.&#10;&#10;">
                      <a:extLst>
                        <a:ext uri="{FF2B5EF4-FFF2-40B4-BE49-F238E27FC236}">
                          <a16:creationId xmlns:a16="http://schemas.microsoft.com/office/drawing/2014/main" id="{4C54A6C6-484A-07D9-4F83-F6312DF189E4}"/>
                        </a:ext>
                      </a:extLst>
                    </pic:cNvPr>
                    <pic:cNvPicPr>
                      <a:picLocks noChangeAspect="1"/>
                    </pic:cNvPicPr>
                  </pic:nvPicPr>
                  <pic:blipFill>
                    <a:blip r:embed="rId16"/>
                    <a:stretch>
                      <a:fillRect/>
                    </a:stretch>
                  </pic:blipFill>
                  <pic:spPr>
                    <a:xfrm>
                      <a:off x="0" y="0"/>
                      <a:ext cx="5731510" cy="2109470"/>
                    </a:xfrm>
                    <a:prstGeom prst="rect">
                      <a:avLst/>
                    </a:prstGeom>
                  </pic:spPr>
                </pic:pic>
              </a:graphicData>
            </a:graphic>
          </wp:inline>
        </w:drawing>
      </w:r>
    </w:p>
    <w:p w14:paraId="37E15B72" w14:textId="4074DF2F" w:rsidR="008519B6" w:rsidRPr="00F057FA" w:rsidRDefault="008519B6" w:rsidP="00F057FA">
      <w:pPr>
        <w:spacing w:after="0" w:line="240" w:lineRule="auto"/>
        <w:rPr>
          <w:rFonts w:ascii="Aptos" w:hAnsi="Aptos"/>
        </w:rPr>
      </w:pPr>
    </w:p>
    <w:p w14:paraId="5B7DE706" w14:textId="77777777" w:rsidR="008519B6" w:rsidRPr="00F057FA" w:rsidRDefault="008519B6" w:rsidP="00F057FA">
      <w:pPr>
        <w:spacing w:after="0" w:line="240" w:lineRule="auto"/>
        <w:rPr>
          <w:rFonts w:ascii="Aptos" w:hAnsi="Aptos"/>
        </w:rPr>
      </w:pPr>
      <w:bookmarkStart w:id="14" w:name="_Hlk195607464"/>
      <w:r w:rsidRPr="00F057FA">
        <w:rPr>
          <w:rFonts w:ascii="Aptos" w:hAnsi="Aptos"/>
        </w:rPr>
        <w:t>Table 3: Workforce Disability Equality Data for Metric 4 from 2020 to 2024.</w:t>
      </w:r>
    </w:p>
    <w:tbl>
      <w:tblPr>
        <w:tblW w:w="9500" w:type="dxa"/>
        <w:tblLook w:val="04A0" w:firstRow="1" w:lastRow="0" w:firstColumn="1" w:lastColumn="0" w:noHBand="0" w:noVBand="1"/>
      </w:tblPr>
      <w:tblGrid>
        <w:gridCol w:w="4680"/>
        <w:gridCol w:w="960"/>
        <w:gridCol w:w="960"/>
        <w:gridCol w:w="980"/>
        <w:gridCol w:w="960"/>
        <w:gridCol w:w="960"/>
      </w:tblGrid>
      <w:tr w:rsidR="00925A98" w:rsidRPr="00F057FA" w14:paraId="79AF98CC" w14:textId="77777777" w:rsidTr="00925A98">
        <w:trPr>
          <w:trHeight w:val="290"/>
        </w:trPr>
        <w:tc>
          <w:tcPr>
            <w:tcW w:w="4680" w:type="dxa"/>
            <w:tcBorders>
              <w:top w:val="single" w:sz="4" w:space="0" w:color="auto"/>
              <w:left w:val="single" w:sz="4" w:space="0" w:color="auto"/>
              <w:bottom w:val="single" w:sz="4" w:space="0" w:color="auto"/>
              <w:right w:val="single" w:sz="4" w:space="0" w:color="auto"/>
            </w:tcBorders>
            <w:noWrap/>
            <w:vAlign w:val="bottom"/>
            <w:hideMark/>
          </w:tcPr>
          <w:bookmarkEnd w:id="14"/>
          <w:p w14:paraId="059B6376" w14:textId="77777777" w:rsidR="00925A98" w:rsidRPr="00F057FA" w:rsidRDefault="00925A98"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35434EB4"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722F2901"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80" w:type="dxa"/>
            <w:tcBorders>
              <w:top w:val="single" w:sz="4" w:space="0" w:color="auto"/>
              <w:left w:val="nil"/>
              <w:bottom w:val="single" w:sz="4" w:space="0" w:color="auto"/>
              <w:right w:val="single" w:sz="4" w:space="0" w:color="auto"/>
            </w:tcBorders>
            <w:noWrap/>
            <w:vAlign w:val="bottom"/>
            <w:hideMark/>
          </w:tcPr>
          <w:p w14:paraId="1644EE7F"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6D7E3D99"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1F0E1104"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925A98" w:rsidRPr="00F057FA" w14:paraId="6EFC720F"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6085BBD9"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058469D9"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29.19%</w:t>
            </w:r>
          </w:p>
        </w:tc>
        <w:tc>
          <w:tcPr>
            <w:tcW w:w="960" w:type="dxa"/>
            <w:tcBorders>
              <w:top w:val="nil"/>
              <w:left w:val="nil"/>
              <w:bottom w:val="single" w:sz="4" w:space="0" w:color="auto"/>
              <w:right w:val="single" w:sz="4" w:space="0" w:color="auto"/>
            </w:tcBorders>
            <w:noWrap/>
            <w:vAlign w:val="bottom"/>
            <w:hideMark/>
          </w:tcPr>
          <w:p w14:paraId="43DD6088"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35.07%</w:t>
            </w:r>
          </w:p>
        </w:tc>
        <w:tc>
          <w:tcPr>
            <w:tcW w:w="980" w:type="dxa"/>
            <w:tcBorders>
              <w:top w:val="nil"/>
              <w:left w:val="nil"/>
              <w:bottom w:val="single" w:sz="4" w:space="0" w:color="auto"/>
              <w:right w:val="single" w:sz="4" w:space="0" w:color="auto"/>
            </w:tcBorders>
            <w:noWrap/>
            <w:vAlign w:val="bottom"/>
            <w:hideMark/>
          </w:tcPr>
          <w:p w14:paraId="1ECD0BD0"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29.79%</w:t>
            </w:r>
          </w:p>
        </w:tc>
        <w:tc>
          <w:tcPr>
            <w:tcW w:w="960" w:type="dxa"/>
            <w:tcBorders>
              <w:top w:val="nil"/>
              <w:left w:val="nil"/>
              <w:bottom w:val="single" w:sz="4" w:space="0" w:color="auto"/>
              <w:right w:val="single" w:sz="4" w:space="0" w:color="auto"/>
            </w:tcBorders>
            <w:noWrap/>
            <w:vAlign w:val="bottom"/>
            <w:hideMark/>
          </w:tcPr>
          <w:p w14:paraId="3B4AEC33"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23.73%</w:t>
            </w:r>
          </w:p>
        </w:tc>
        <w:tc>
          <w:tcPr>
            <w:tcW w:w="960" w:type="dxa"/>
            <w:tcBorders>
              <w:top w:val="nil"/>
              <w:left w:val="nil"/>
              <w:bottom w:val="single" w:sz="4" w:space="0" w:color="auto"/>
              <w:right w:val="single" w:sz="4" w:space="0" w:color="auto"/>
            </w:tcBorders>
            <w:noWrap/>
            <w:vAlign w:val="bottom"/>
            <w:hideMark/>
          </w:tcPr>
          <w:p w14:paraId="44543ED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23.63%</w:t>
            </w:r>
          </w:p>
        </w:tc>
      </w:tr>
      <w:tr w:rsidR="00925A98" w:rsidRPr="00F057FA" w14:paraId="231CE852"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65B0981E"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42C89BA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17.42%</w:t>
            </w:r>
          </w:p>
        </w:tc>
        <w:tc>
          <w:tcPr>
            <w:tcW w:w="960" w:type="dxa"/>
            <w:tcBorders>
              <w:top w:val="nil"/>
              <w:left w:val="nil"/>
              <w:bottom w:val="single" w:sz="4" w:space="0" w:color="auto"/>
              <w:right w:val="single" w:sz="4" w:space="0" w:color="auto"/>
            </w:tcBorders>
            <w:noWrap/>
            <w:vAlign w:val="bottom"/>
            <w:hideMark/>
          </w:tcPr>
          <w:p w14:paraId="25092174"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19.43%</w:t>
            </w:r>
          </w:p>
        </w:tc>
        <w:tc>
          <w:tcPr>
            <w:tcW w:w="980" w:type="dxa"/>
            <w:tcBorders>
              <w:top w:val="nil"/>
              <w:left w:val="nil"/>
              <w:bottom w:val="single" w:sz="4" w:space="0" w:color="auto"/>
              <w:right w:val="single" w:sz="4" w:space="0" w:color="auto"/>
            </w:tcBorders>
            <w:noWrap/>
            <w:vAlign w:val="bottom"/>
            <w:hideMark/>
          </w:tcPr>
          <w:p w14:paraId="6A551E4E"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19.95%</w:t>
            </w:r>
          </w:p>
        </w:tc>
        <w:tc>
          <w:tcPr>
            <w:tcW w:w="960" w:type="dxa"/>
            <w:tcBorders>
              <w:top w:val="nil"/>
              <w:left w:val="nil"/>
              <w:bottom w:val="single" w:sz="4" w:space="0" w:color="auto"/>
              <w:right w:val="single" w:sz="4" w:space="0" w:color="auto"/>
            </w:tcBorders>
            <w:noWrap/>
            <w:vAlign w:val="bottom"/>
            <w:hideMark/>
          </w:tcPr>
          <w:p w14:paraId="5E7874E5"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15.37%</w:t>
            </w:r>
          </w:p>
        </w:tc>
        <w:tc>
          <w:tcPr>
            <w:tcW w:w="960" w:type="dxa"/>
            <w:tcBorders>
              <w:top w:val="nil"/>
              <w:left w:val="nil"/>
              <w:bottom w:val="single" w:sz="4" w:space="0" w:color="auto"/>
              <w:right w:val="single" w:sz="4" w:space="0" w:color="auto"/>
            </w:tcBorders>
            <w:noWrap/>
            <w:vAlign w:val="bottom"/>
            <w:hideMark/>
          </w:tcPr>
          <w:p w14:paraId="4E2957DF"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15.48%</w:t>
            </w:r>
          </w:p>
        </w:tc>
      </w:tr>
      <w:tr w:rsidR="00925A98" w:rsidRPr="00F057FA" w14:paraId="1D4E249A"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27095141"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2B7EFEAF"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26.89%</w:t>
            </w:r>
          </w:p>
        </w:tc>
        <w:tc>
          <w:tcPr>
            <w:tcW w:w="960" w:type="dxa"/>
            <w:tcBorders>
              <w:top w:val="nil"/>
              <w:left w:val="nil"/>
              <w:bottom w:val="single" w:sz="4" w:space="0" w:color="auto"/>
              <w:right w:val="single" w:sz="4" w:space="0" w:color="auto"/>
            </w:tcBorders>
            <w:noWrap/>
            <w:vAlign w:val="bottom"/>
            <w:hideMark/>
          </w:tcPr>
          <w:p w14:paraId="41FD51C5"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26.60%</w:t>
            </w:r>
          </w:p>
        </w:tc>
        <w:tc>
          <w:tcPr>
            <w:tcW w:w="980" w:type="dxa"/>
            <w:tcBorders>
              <w:top w:val="nil"/>
              <w:left w:val="nil"/>
              <w:bottom w:val="single" w:sz="4" w:space="0" w:color="auto"/>
              <w:right w:val="single" w:sz="4" w:space="0" w:color="auto"/>
            </w:tcBorders>
            <w:noWrap/>
            <w:vAlign w:val="bottom"/>
            <w:hideMark/>
          </w:tcPr>
          <w:p w14:paraId="2E36D65F"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26.93%</w:t>
            </w:r>
          </w:p>
        </w:tc>
        <w:tc>
          <w:tcPr>
            <w:tcW w:w="960" w:type="dxa"/>
            <w:tcBorders>
              <w:top w:val="nil"/>
              <w:left w:val="nil"/>
              <w:bottom w:val="single" w:sz="4" w:space="0" w:color="auto"/>
              <w:right w:val="single" w:sz="4" w:space="0" w:color="auto"/>
            </w:tcBorders>
            <w:noWrap/>
            <w:vAlign w:val="bottom"/>
            <w:hideMark/>
          </w:tcPr>
          <w:p w14:paraId="08CAD24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25.26%</w:t>
            </w:r>
          </w:p>
        </w:tc>
        <w:tc>
          <w:tcPr>
            <w:tcW w:w="960" w:type="dxa"/>
            <w:tcBorders>
              <w:top w:val="nil"/>
              <w:left w:val="nil"/>
              <w:bottom w:val="single" w:sz="4" w:space="0" w:color="auto"/>
              <w:right w:val="single" w:sz="4" w:space="0" w:color="auto"/>
            </w:tcBorders>
            <w:noWrap/>
            <w:vAlign w:val="bottom"/>
            <w:hideMark/>
          </w:tcPr>
          <w:p w14:paraId="67F0D5FC"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25.24%</w:t>
            </w:r>
          </w:p>
        </w:tc>
      </w:tr>
      <w:tr w:rsidR="00925A98" w:rsidRPr="00F057FA" w14:paraId="6891174F"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59DEEBAE"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580453D7"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17.79%</w:t>
            </w:r>
          </w:p>
        </w:tc>
        <w:tc>
          <w:tcPr>
            <w:tcW w:w="960" w:type="dxa"/>
            <w:tcBorders>
              <w:top w:val="nil"/>
              <w:left w:val="nil"/>
              <w:bottom w:val="single" w:sz="4" w:space="0" w:color="auto"/>
              <w:right w:val="single" w:sz="4" w:space="0" w:color="auto"/>
            </w:tcBorders>
            <w:noWrap/>
            <w:vAlign w:val="bottom"/>
            <w:hideMark/>
          </w:tcPr>
          <w:p w14:paraId="391152F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17.11%</w:t>
            </w:r>
          </w:p>
        </w:tc>
        <w:tc>
          <w:tcPr>
            <w:tcW w:w="980" w:type="dxa"/>
            <w:tcBorders>
              <w:top w:val="nil"/>
              <w:left w:val="nil"/>
              <w:bottom w:val="single" w:sz="4" w:space="0" w:color="auto"/>
              <w:right w:val="single" w:sz="4" w:space="0" w:color="auto"/>
            </w:tcBorders>
            <w:noWrap/>
            <w:vAlign w:val="bottom"/>
            <w:hideMark/>
          </w:tcPr>
          <w:p w14:paraId="68A7E0B5"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17.67%</w:t>
            </w:r>
          </w:p>
        </w:tc>
        <w:tc>
          <w:tcPr>
            <w:tcW w:w="960" w:type="dxa"/>
            <w:tcBorders>
              <w:top w:val="nil"/>
              <w:left w:val="nil"/>
              <w:bottom w:val="single" w:sz="4" w:space="0" w:color="auto"/>
              <w:right w:val="single" w:sz="4" w:space="0" w:color="auto"/>
            </w:tcBorders>
            <w:noWrap/>
            <w:vAlign w:val="bottom"/>
            <w:hideMark/>
          </w:tcPr>
          <w:p w14:paraId="0B6474F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16.01%</w:t>
            </w:r>
          </w:p>
        </w:tc>
        <w:tc>
          <w:tcPr>
            <w:tcW w:w="960" w:type="dxa"/>
            <w:tcBorders>
              <w:top w:val="nil"/>
              <w:left w:val="nil"/>
              <w:bottom w:val="single" w:sz="4" w:space="0" w:color="auto"/>
              <w:right w:val="single" w:sz="4" w:space="0" w:color="auto"/>
            </w:tcBorders>
            <w:noWrap/>
            <w:vAlign w:val="bottom"/>
            <w:hideMark/>
          </w:tcPr>
          <w:p w14:paraId="27E71EB0"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16.22%</w:t>
            </w:r>
          </w:p>
        </w:tc>
      </w:tr>
      <w:tr w:rsidR="00925A98" w:rsidRPr="00F057FA" w14:paraId="5A8CED5D"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21381595"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7FA0AD79"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507</w:t>
            </w:r>
          </w:p>
        </w:tc>
        <w:tc>
          <w:tcPr>
            <w:tcW w:w="960" w:type="dxa"/>
            <w:tcBorders>
              <w:top w:val="nil"/>
              <w:left w:val="nil"/>
              <w:bottom w:val="single" w:sz="4" w:space="0" w:color="auto"/>
              <w:right w:val="single" w:sz="4" w:space="0" w:color="auto"/>
            </w:tcBorders>
            <w:noWrap/>
            <w:vAlign w:val="bottom"/>
            <w:hideMark/>
          </w:tcPr>
          <w:p w14:paraId="522BEB93"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613</w:t>
            </w:r>
          </w:p>
        </w:tc>
        <w:tc>
          <w:tcPr>
            <w:tcW w:w="980" w:type="dxa"/>
            <w:tcBorders>
              <w:top w:val="nil"/>
              <w:left w:val="nil"/>
              <w:bottom w:val="single" w:sz="4" w:space="0" w:color="auto"/>
              <w:right w:val="single" w:sz="4" w:space="0" w:color="auto"/>
            </w:tcBorders>
            <w:noWrap/>
            <w:vAlign w:val="bottom"/>
            <w:hideMark/>
          </w:tcPr>
          <w:p w14:paraId="79F9408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584</w:t>
            </w:r>
          </w:p>
        </w:tc>
        <w:tc>
          <w:tcPr>
            <w:tcW w:w="960" w:type="dxa"/>
            <w:tcBorders>
              <w:top w:val="nil"/>
              <w:left w:val="nil"/>
              <w:bottom w:val="single" w:sz="4" w:space="0" w:color="auto"/>
              <w:right w:val="single" w:sz="4" w:space="0" w:color="auto"/>
            </w:tcBorders>
            <w:noWrap/>
            <w:vAlign w:val="bottom"/>
            <w:hideMark/>
          </w:tcPr>
          <w:p w14:paraId="6A2DDBA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482</w:t>
            </w:r>
          </w:p>
        </w:tc>
        <w:tc>
          <w:tcPr>
            <w:tcW w:w="960" w:type="dxa"/>
            <w:tcBorders>
              <w:top w:val="nil"/>
              <w:left w:val="nil"/>
              <w:bottom w:val="single" w:sz="4" w:space="0" w:color="auto"/>
              <w:right w:val="single" w:sz="4" w:space="0" w:color="auto"/>
            </w:tcBorders>
            <w:noWrap/>
            <w:vAlign w:val="bottom"/>
            <w:hideMark/>
          </w:tcPr>
          <w:p w14:paraId="7C516B43"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622</w:t>
            </w:r>
          </w:p>
        </w:tc>
      </w:tr>
      <w:tr w:rsidR="00925A98" w:rsidRPr="00F057FA" w14:paraId="439BDCEF"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6B7AE4B8"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64A5622C"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2084</w:t>
            </w:r>
          </w:p>
        </w:tc>
        <w:tc>
          <w:tcPr>
            <w:tcW w:w="960" w:type="dxa"/>
            <w:tcBorders>
              <w:top w:val="nil"/>
              <w:left w:val="nil"/>
              <w:bottom w:val="single" w:sz="4" w:space="0" w:color="auto"/>
              <w:right w:val="single" w:sz="4" w:space="0" w:color="auto"/>
            </w:tcBorders>
            <w:noWrap/>
            <w:vAlign w:val="bottom"/>
            <w:hideMark/>
          </w:tcPr>
          <w:p w14:paraId="37B43197"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2115</w:t>
            </w:r>
          </w:p>
        </w:tc>
        <w:tc>
          <w:tcPr>
            <w:tcW w:w="980" w:type="dxa"/>
            <w:tcBorders>
              <w:top w:val="nil"/>
              <w:left w:val="nil"/>
              <w:bottom w:val="single" w:sz="4" w:space="0" w:color="auto"/>
              <w:right w:val="single" w:sz="4" w:space="0" w:color="auto"/>
            </w:tcBorders>
            <w:noWrap/>
            <w:vAlign w:val="bottom"/>
            <w:hideMark/>
          </w:tcPr>
          <w:p w14:paraId="16DF2E26"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2160</w:t>
            </w:r>
          </w:p>
        </w:tc>
        <w:tc>
          <w:tcPr>
            <w:tcW w:w="960" w:type="dxa"/>
            <w:tcBorders>
              <w:top w:val="nil"/>
              <w:left w:val="nil"/>
              <w:bottom w:val="single" w:sz="4" w:space="0" w:color="auto"/>
              <w:right w:val="single" w:sz="4" w:space="0" w:color="auto"/>
            </w:tcBorders>
            <w:noWrap/>
            <w:vAlign w:val="bottom"/>
            <w:hideMark/>
          </w:tcPr>
          <w:p w14:paraId="0AFA1571"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1554</w:t>
            </w:r>
          </w:p>
        </w:tc>
        <w:tc>
          <w:tcPr>
            <w:tcW w:w="960" w:type="dxa"/>
            <w:tcBorders>
              <w:top w:val="nil"/>
              <w:left w:val="nil"/>
              <w:bottom w:val="single" w:sz="4" w:space="0" w:color="auto"/>
              <w:right w:val="single" w:sz="4" w:space="0" w:color="auto"/>
            </w:tcBorders>
            <w:noWrap/>
            <w:vAlign w:val="bottom"/>
            <w:hideMark/>
          </w:tcPr>
          <w:p w14:paraId="371534EB"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2009</w:t>
            </w:r>
          </w:p>
        </w:tc>
      </w:tr>
    </w:tbl>
    <w:p w14:paraId="327CD860" w14:textId="77777777" w:rsidR="008519B6" w:rsidRPr="00F057FA" w:rsidRDefault="008519B6" w:rsidP="00F057FA">
      <w:pPr>
        <w:spacing w:after="0" w:line="240" w:lineRule="auto"/>
        <w:rPr>
          <w:rFonts w:ascii="Aptos" w:hAnsi="Aptos"/>
        </w:rPr>
      </w:pPr>
    </w:p>
    <w:p w14:paraId="7A85B9CE" w14:textId="77777777" w:rsidR="008519B6" w:rsidRPr="00F057FA" w:rsidRDefault="008519B6" w:rsidP="00F057FA">
      <w:pPr>
        <w:spacing w:after="0" w:line="240" w:lineRule="auto"/>
        <w:rPr>
          <w:rFonts w:ascii="Aptos" w:hAnsi="Aptos"/>
        </w:rPr>
      </w:pPr>
    </w:p>
    <w:p w14:paraId="7736195B" w14:textId="2B9C9EDF" w:rsidR="008519B6" w:rsidRPr="00F057FA" w:rsidRDefault="008519B6" w:rsidP="00F057FA">
      <w:pPr>
        <w:pStyle w:val="Heading1"/>
        <w:spacing w:before="0" w:after="0" w:line="240" w:lineRule="auto"/>
        <w:rPr>
          <w:rFonts w:ascii="Aptos" w:hAnsi="Aptos"/>
        </w:rPr>
      </w:pPr>
      <w:bookmarkStart w:id="15" w:name="_Toc198627464"/>
      <w:r w:rsidRPr="00F057FA">
        <w:rPr>
          <w:rFonts w:ascii="Aptos" w:hAnsi="Aptos"/>
        </w:rPr>
        <w:t>Metric 4</w:t>
      </w:r>
      <w:r w:rsidR="00925A98" w:rsidRPr="00F057FA">
        <w:rPr>
          <w:rFonts w:ascii="Aptos" w:hAnsi="Aptos"/>
        </w:rPr>
        <w:t>b</w:t>
      </w:r>
      <w:r w:rsidRPr="00F057FA">
        <w:rPr>
          <w:rFonts w:ascii="Aptos" w:hAnsi="Aptos"/>
        </w:rPr>
        <w:t xml:space="preserve"> - Percentage of staff saying that the last time they experienced harassment, bullying or abuse at work, </w:t>
      </w:r>
      <w:r w:rsidR="00925A98" w:rsidRPr="00F057FA">
        <w:rPr>
          <w:rFonts w:ascii="Aptos" w:hAnsi="Aptos"/>
        </w:rPr>
        <w:t xml:space="preserve">and </w:t>
      </w:r>
      <w:r w:rsidRPr="00F057FA">
        <w:rPr>
          <w:rFonts w:ascii="Aptos" w:hAnsi="Aptos"/>
        </w:rPr>
        <w:t>they or a colleague reported it</w:t>
      </w:r>
      <w:bookmarkEnd w:id="15"/>
    </w:p>
    <w:p w14:paraId="1718C8C8" w14:textId="3C7AA38D" w:rsidR="008519B6" w:rsidRDefault="008519B6" w:rsidP="00F057FA">
      <w:pPr>
        <w:spacing w:after="0" w:line="240" w:lineRule="auto"/>
        <w:rPr>
          <w:rFonts w:ascii="Aptos" w:hAnsi="Aptos"/>
        </w:rPr>
      </w:pPr>
      <w:r w:rsidRPr="00F057FA">
        <w:rPr>
          <w:rFonts w:ascii="Aptos" w:hAnsi="Aptos"/>
        </w:rPr>
        <w:t>In 2024, 5</w:t>
      </w:r>
      <w:r w:rsidR="00925A98" w:rsidRPr="00F057FA">
        <w:rPr>
          <w:rFonts w:ascii="Aptos" w:hAnsi="Aptos"/>
        </w:rPr>
        <w:t>3.3%</w:t>
      </w:r>
      <w:r w:rsidRPr="00F057FA">
        <w:rPr>
          <w:rFonts w:ascii="Aptos" w:hAnsi="Aptos"/>
        </w:rPr>
        <w:t xml:space="preserve"> of staff with a long-term condition or illness reported that they had reported the last incident of harassment, bullying, or abuse they experienced at work, reflecting a</w:t>
      </w:r>
      <w:r w:rsidR="00925A98" w:rsidRPr="00F057FA">
        <w:rPr>
          <w:rFonts w:ascii="Aptos" w:hAnsi="Aptos"/>
        </w:rPr>
        <w:t xml:space="preserve"> decline. In 2023, it was 56.25%.</w:t>
      </w:r>
    </w:p>
    <w:p w14:paraId="5D0685AB" w14:textId="77777777" w:rsidR="000F53A3" w:rsidRPr="00F057FA" w:rsidRDefault="000F53A3" w:rsidP="00F057FA">
      <w:pPr>
        <w:spacing w:after="0" w:line="240" w:lineRule="auto"/>
        <w:rPr>
          <w:rFonts w:ascii="Aptos" w:hAnsi="Aptos"/>
        </w:rPr>
      </w:pPr>
    </w:p>
    <w:p w14:paraId="179C25BD" w14:textId="77777777" w:rsidR="004A311D" w:rsidRDefault="004A311D" w:rsidP="00F057FA">
      <w:pPr>
        <w:spacing w:after="0" w:line="240" w:lineRule="auto"/>
        <w:rPr>
          <w:rFonts w:ascii="Aptos" w:hAnsi="Aptos"/>
        </w:rPr>
      </w:pPr>
    </w:p>
    <w:p w14:paraId="1DC9F707" w14:textId="77777777" w:rsidR="004A311D" w:rsidRDefault="004A311D" w:rsidP="00F057FA">
      <w:pPr>
        <w:spacing w:after="0" w:line="240" w:lineRule="auto"/>
        <w:rPr>
          <w:rFonts w:ascii="Aptos" w:hAnsi="Aptos"/>
        </w:rPr>
      </w:pPr>
    </w:p>
    <w:p w14:paraId="539A869D" w14:textId="77777777" w:rsidR="004A311D" w:rsidRDefault="004A311D" w:rsidP="00F057FA">
      <w:pPr>
        <w:spacing w:after="0" w:line="240" w:lineRule="auto"/>
        <w:rPr>
          <w:rFonts w:ascii="Aptos" w:hAnsi="Aptos"/>
        </w:rPr>
      </w:pPr>
    </w:p>
    <w:p w14:paraId="5CC5A547" w14:textId="77777777" w:rsidR="004A311D" w:rsidRDefault="004A311D" w:rsidP="00F057FA">
      <w:pPr>
        <w:spacing w:after="0" w:line="240" w:lineRule="auto"/>
        <w:rPr>
          <w:rFonts w:ascii="Aptos" w:hAnsi="Aptos"/>
        </w:rPr>
      </w:pPr>
    </w:p>
    <w:p w14:paraId="1E12AF87" w14:textId="77777777" w:rsidR="004A311D" w:rsidRDefault="004A311D" w:rsidP="00F057FA">
      <w:pPr>
        <w:spacing w:after="0" w:line="240" w:lineRule="auto"/>
        <w:rPr>
          <w:rFonts w:ascii="Aptos" w:hAnsi="Aptos"/>
        </w:rPr>
      </w:pPr>
    </w:p>
    <w:p w14:paraId="0FD90559" w14:textId="77777777" w:rsidR="004A311D" w:rsidRDefault="004A311D" w:rsidP="00F057FA">
      <w:pPr>
        <w:spacing w:after="0" w:line="240" w:lineRule="auto"/>
        <w:rPr>
          <w:rFonts w:ascii="Aptos" w:hAnsi="Aptos"/>
        </w:rPr>
      </w:pPr>
    </w:p>
    <w:p w14:paraId="6A211CDA" w14:textId="77777777" w:rsidR="004A311D" w:rsidRDefault="004A311D" w:rsidP="00F057FA">
      <w:pPr>
        <w:spacing w:after="0" w:line="240" w:lineRule="auto"/>
        <w:rPr>
          <w:rFonts w:ascii="Aptos" w:hAnsi="Aptos"/>
        </w:rPr>
      </w:pPr>
    </w:p>
    <w:p w14:paraId="2CDB61EC" w14:textId="2DAD3D9B" w:rsidR="008519B6" w:rsidRPr="00F057FA" w:rsidRDefault="008519B6" w:rsidP="00F057FA">
      <w:pPr>
        <w:spacing w:after="0" w:line="240" w:lineRule="auto"/>
        <w:rPr>
          <w:rFonts w:ascii="Aptos" w:hAnsi="Aptos"/>
        </w:rPr>
      </w:pPr>
      <w:r w:rsidRPr="00F057FA">
        <w:rPr>
          <w:rFonts w:ascii="Aptos" w:hAnsi="Aptos"/>
        </w:rPr>
        <w:lastRenderedPageBreak/>
        <w:t>Table 4: Workforce Disability Equality Data for Metric 4 from 2020 to 2024.</w:t>
      </w:r>
    </w:p>
    <w:p w14:paraId="183D1962" w14:textId="1EAA37A1" w:rsidR="008519B6" w:rsidRPr="00F057FA" w:rsidRDefault="00925A98" w:rsidP="00F057FA">
      <w:pPr>
        <w:spacing w:after="0" w:line="240" w:lineRule="auto"/>
        <w:rPr>
          <w:rFonts w:ascii="Aptos" w:hAnsi="Aptos"/>
        </w:rPr>
      </w:pPr>
      <w:r w:rsidRPr="00F057FA">
        <w:rPr>
          <w:rFonts w:ascii="Aptos" w:hAnsi="Aptos"/>
          <w:noProof/>
        </w:rPr>
        <w:drawing>
          <wp:inline distT="0" distB="0" distL="0" distR="0" wp14:anchorId="0324D09E" wp14:editId="651D6E05">
            <wp:extent cx="5731510" cy="2103120"/>
            <wp:effectExtent l="0" t="0" r="2540" b="0"/>
            <wp:docPr id="9" name="Picture 8" descr="In 2024, 53.3% of staff with a long-term condition or illness reported that they had reported the last incident of harassment, bullying, or abuse they experienced at work, reflecting a decline">
              <a:extLst xmlns:a="http://schemas.openxmlformats.org/drawingml/2006/main">
                <a:ext uri="{FF2B5EF4-FFF2-40B4-BE49-F238E27FC236}">
                  <a16:creationId xmlns:a16="http://schemas.microsoft.com/office/drawing/2014/main" id="{FB4671CA-F240-288C-ACE6-5775A2BB0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n 2024, 53.3% of staff with a long-term condition or illness reported that they had reported the last incident of harassment, bullying, or abuse they experienced at work, reflecting a decline">
                      <a:extLst>
                        <a:ext uri="{FF2B5EF4-FFF2-40B4-BE49-F238E27FC236}">
                          <a16:creationId xmlns:a16="http://schemas.microsoft.com/office/drawing/2014/main" id="{FB4671CA-F240-288C-ACE6-5775A2BB0460}"/>
                        </a:ext>
                      </a:extLst>
                    </pic:cNvPr>
                    <pic:cNvPicPr>
                      <a:picLocks noChangeAspect="1"/>
                    </pic:cNvPicPr>
                  </pic:nvPicPr>
                  <pic:blipFill>
                    <a:blip r:embed="rId17"/>
                    <a:stretch>
                      <a:fillRect/>
                    </a:stretch>
                  </pic:blipFill>
                  <pic:spPr>
                    <a:xfrm>
                      <a:off x="0" y="0"/>
                      <a:ext cx="5731510" cy="2103120"/>
                    </a:xfrm>
                    <a:prstGeom prst="rect">
                      <a:avLst/>
                    </a:prstGeom>
                  </pic:spPr>
                </pic:pic>
              </a:graphicData>
            </a:graphic>
          </wp:inline>
        </w:drawing>
      </w:r>
    </w:p>
    <w:tbl>
      <w:tblPr>
        <w:tblW w:w="10460" w:type="dxa"/>
        <w:tblLook w:val="04A0" w:firstRow="1" w:lastRow="0" w:firstColumn="1" w:lastColumn="0" w:noHBand="0" w:noVBand="1"/>
      </w:tblPr>
      <w:tblGrid>
        <w:gridCol w:w="4680"/>
        <w:gridCol w:w="960"/>
        <w:gridCol w:w="960"/>
        <w:gridCol w:w="980"/>
        <w:gridCol w:w="960"/>
        <w:gridCol w:w="960"/>
        <w:gridCol w:w="960"/>
      </w:tblGrid>
      <w:tr w:rsidR="00925A98" w:rsidRPr="00F057FA" w14:paraId="2D8C534A" w14:textId="77777777" w:rsidTr="00925A98">
        <w:trPr>
          <w:trHeight w:val="290"/>
        </w:trPr>
        <w:tc>
          <w:tcPr>
            <w:tcW w:w="4680" w:type="dxa"/>
            <w:tcBorders>
              <w:top w:val="single" w:sz="4" w:space="0" w:color="auto"/>
              <w:left w:val="single" w:sz="4" w:space="0" w:color="auto"/>
              <w:bottom w:val="single" w:sz="4" w:space="0" w:color="auto"/>
              <w:right w:val="single" w:sz="4" w:space="0" w:color="auto"/>
            </w:tcBorders>
            <w:noWrap/>
            <w:vAlign w:val="bottom"/>
            <w:hideMark/>
          </w:tcPr>
          <w:p w14:paraId="5FA18579" w14:textId="77777777" w:rsidR="00925A98" w:rsidRPr="00F057FA" w:rsidRDefault="00925A98"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528A5231"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1F7FF679"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80" w:type="dxa"/>
            <w:tcBorders>
              <w:top w:val="single" w:sz="4" w:space="0" w:color="auto"/>
              <w:left w:val="nil"/>
              <w:bottom w:val="single" w:sz="4" w:space="0" w:color="auto"/>
              <w:right w:val="single" w:sz="4" w:space="0" w:color="auto"/>
            </w:tcBorders>
            <w:noWrap/>
            <w:vAlign w:val="bottom"/>
            <w:hideMark/>
          </w:tcPr>
          <w:p w14:paraId="0B1F3D2D"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487AAA2F"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24DFA7D0"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c>
          <w:tcPr>
            <w:tcW w:w="960" w:type="dxa"/>
            <w:tcBorders>
              <w:top w:val="nil"/>
              <w:left w:val="nil"/>
              <w:bottom w:val="nil"/>
              <w:right w:val="nil"/>
            </w:tcBorders>
            <w:noWrap/>
            <w:vAlign w:val="bottom"/>
            <w:hideMark/>
          </w:tcPr>
          <w:p w14:paraId="3335AF21" w14:textId="77777777" w:rsidR="00925A98" w:rsidRPr="00F057FA" w:rsidRDefault="00925A98" w:rsidP="00F057FA">
            <w:pPr>
              <w:spacing w:after="0" w:line="240" w:lineRule="auto"/>
              <w:jc w:val="right"/>
              <w:rPr>
                <w:rFonts w:ascii="Aptos" w:eastAsia="Times New Roman" w:hAnsi="Aptos" w:cs="Times New Roman"/>
                <w:b/>
                <w:bCs/>
                <w:color w:val="000000"/>
                <w:kern w:val="0"/>
                <w:sz w:val="22"/>
                <w:szCs w:val="22"/>
                <w:lang w:eastAsia="en-GB"/>
                <w14:ligatures w14:val="none"/>
              </w:rPr>
            </w:pPr>
          </w:p>
        </w:tc>
      </w:tr>
      <w:tr w:rsidR="00925A98" w:rsidRPr="00F057FA" w14:paraId="0C2F6AD9"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7B64109A"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48DDD22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53.39%</w:t>
            </w:r>
          </w:p>
        </w:tc>
        <w:tc>
          <w:tcPr>
            <w:tcW w:w="960" w:type="dxa"/>
            <w:tcBorders>
              <w:top w:val="nil"/>
              <w:left w:val="nil"/>
              <w:bottom w:val="single" w:sz="4" w:space="0" w:color="auto"/>
              <w:right w:val="single" w:sz="4" w:space="0" w:color="auto"/>
            </w:tcBorders>
            <w:noWrap/>
            <w:vAlign w:val="bottom"/>
            <w:hideMark/>
          </w:tcPr>
          <w:p w14:paraId="00D47698"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48.28%</w:t>
            </w:r>
          </w:p>
        </w:tc>
        <w:tc>
          <w:tcPr>
            <w:tcW w:w="980" w:type="dxa"/>
            <w:tcBorders>
              <w:top w:val="nil"/>
              <w:left w:val="nil"/>
              <w:bottom w:val="single" w:sz="4" w:space="0" w:color="auto"/>
              <w:right w:val="single" w:sz="4" w:space="0" w:color="auto"/>
            </w:tcBorders>
            <w:noWrap/>
            <w:vAlign w:val="bottom"/>
            <w:hideMark/>
          </w:tcPr>
          <w:p w14:paraId="71D656D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55.44%</w:t>
            </w:r>
          </w:p>
        </w:tc>
        <w:tc>
          <w:tcPr>
            <w:tcW w:w="960" w:type="dxa"/>
            <w:tcBorders>
              <w:top w:val="nil"/>
              <w:left w:val="nil"/>
              <w:bottom w:val="single" w:sz="4" w:space="0" w:color="auto"/>
              <w:right w:val="single" w:sz="4" w:space="0" w:color="auto"/>
            </w:tcBorders>
            <w:noWrap/>
            <w:vAlign w:val="bottom"/>
            <w:hideMark/>
          </w:tcPr>
          <w:p w14:paraId="46CD999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56.25%</w:t>
            </w:r>
          </w:p>
        </w:tc>
        <w:tc>
          <w:tcPr>
            <w:tcW w:w="960" w:type="dxa"/>
            <w:tcBorders>
              <w:top w:val="nil"/>
              <w:left w:val="nil"/>
              <w:bottom w:val="single" w:sz="4" w:space="0" w:color="auto"/>
              <w:right w:val="single" w:sz="4" w:space="0" w:color="auto"/>
            </w:tcBorders>
            <w:noWrap/>
            <w:vAlign w:val="bottom"/>
            <w:hideMark/>
          </w:tcPr>
          <w:p w14:paraId="58894EF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53.33%</w:t>
            </w:r>
          </w:p>
        </w:tc>
        <w:tc>
          <w:tcPr>
            <w:tcW w:w="960" w:type="dxa"/>
            <w:tcBorders>
              <w:top w:val="nil"/>
              <w:left w:val="nil"/>
              <w:bottom w:val="nil"/>
              <w:right w:val="nil"/>
            </w:tcBorders>
            <w:noWrap/>
            <w:vAlign w:val="bottom"/>
            <w:hideMark/>
          </w:tcPr>
          <w:p w14:paraId="26A7BDF7"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925A98" w:rsidRPr="00F057FA" w14:paraId="71FA54EA"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1222D091"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5CA7F3F6"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48.49%</w:t>
            </w:r>
          </w:p>
        </w:tc>
        <w:tc>
          <w:tcPr>
            <w:tcW w:w="960" w:type="dxa"/>
            <w:tcBorders>
              <w:top w:val="nil"/>
              <w:left w:val="nil"/>
              <w:bottom w:val="single" w:sz="4" w:space="0" w:color="auto"/>
              <w:right w:val="single" w:sz="4" w:space="0" w:color="auto"/>
            </w:tcBorders>
            <w:noWrap/>
            <w:vAlign w:val="bottom"/>
            <w:hideMark/>
          </w:tcPr>
          <w:p w14:paraId="3247016E"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46.33%</w:t>
            </w:r>
          </w:p>
        </w:tc>
        <w:tc>
          <w:tcPr>
            <w:tcW w:w="980" w:type="dxa"/>
            <w:tcBorders>
              <w:top w:val="nil"/>
              <w:left w:val="nil"/>
              <w:bottom w:val="single" w:sz="4" w:space="0" w:color="auto"/>
              <w:right w:val="single" w:sz="4" w:space="0" w:color="auto"/>
            </w:tcBorders>
            <w:noWrap/>
            <w:vAlign w:val="bottom"/>
            <w:hideMark/>
          </w:tcPr>
          <w:p w14:paraId="690EA35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49.80%</w:t>
            </w:r>
          </w:p>
        </w:tc>
        <w:tc>
          <w:tcPr>
            <w:tcW w:w="960" w:type="dxa"/>
            <w:tcBorders>
              <w:top w:val="nil"/>
              <w:left w:val="nil"/>
              <w:bottom w:val="single" w:sz="4" w:space="0" w:color="auto"/>
              <w:right w:val="single" w:sz="4" w:space="0" w:color="auto"/>
            </w:tcBorders>
            <w:noWrap/>
            <w:vAlign w:val="bottom"/>
            <w:hideMark/>
          </w:tcPr>
          <w:p w14:paraId="719E0EC8"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47.41%</w:t>
            </w:r>
          </w:p>
        </w:tc>
        <w:tc>
          <w:tcPr>
            <w:tcW w:w="960" w:type="dxa"/>
            <w:tcBorders>
              <w:top w:val="nil"/>
              <w:left w:val="nil"/>
              <w:bottom w:val="single" w:sz="4" w:space="0" w:color="auto"/>
              <w:right w:val="single" w:sz="4" w:space="0" w:color="auto"/>
            </w:tcBorders>
            <w:noWrap/>
            <w:vAlign w:val="bottom"/>
            <w:hideMark/>
          </w:tcPr>
          <w:p w14:paraId="57AA135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53.02%</w:t>
            </w:r>
          </w:p>
        </w:tc>
        <w:tc>
          <w:tcPr>
            <w:tcW w:w="960" w:type="dxa"/>
            <w:tcBorders>
              <w:top w:val="nil"/>
              <w:left w:val="nil"/>
              <w:bottom w:val="nil"/>
              <w:right w:val="nil"/>
            </w:tcBorders>
            <w:noWrap/>
            <w:vAlign w:val="bottom"/>
            <w:hideMark/>
          </w:tcPr>
          <w:p w14:paraId="32B557E9"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925A98" w:rsidRPr="00F057FA" w14:paraId="7FA473D9"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2B989BF5"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18A3BEB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47.01%</w:t>
            </w:r>
          </w:p>
        </w:tc>
        <w:tc>
          <w:tcPr>
            <w:tcW w:w="960" w:type="dxa"/>
            <w:tcBorders>
              <w:top w:val="nil"/>
              <w:left w:val="nil"/>
              <w:bottom w:val="single" w:sz="4" w:space="0" w:color="auto"/>
              <w:right w:val="single" w:sz="4" w:space="0" w:color="auto"/>
            </w:tcBorders>
            <w:noWrap/>
            <w:vAlign w:val="bottom"/>
            <w:hideMark/>
          </w:tcPr>
          <w:p w14:paraId="5CD8AC4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47.03%</w:t>
            </w:r>
          </w:p>
        </w:tc>
        <w:tc>
          <w:tcPr>
            <w:tcW w:w="980" w:type="dxa"/>
            <w:tcBorders>
              <w:top w:val="nil"/>
              <w:left w:val="nil"/>
              <w:bottom w:val="single" w:sz="4" w:space="0" w:color="auto"/>
              <w:right w:val="single" w:sz="4" w:space="0" w:color="auto"/>
            </w:tcBorders>
            <w:noWrap/>
            <w:vAlign w:val="bottom"/>
            <w:hideMark/>
          </w:tcPr>
          <w:p w14:paraId="7F56F1C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48.43%</w:t>
            </w:r>
          </w:p>
        </w:tc>
        <w:tc>
          <w:tcPr>
            <w:tcW w:w="960" w:type="dxa"/>
            <w:tcBorders>
              <w:top w:val="nil"/>
              <w:left w:val="nil"/>
              <w:bottom w:val="single" w:sz="4" w:space="0" w:color="auto"/>
              <w:right w:val="single" w:sz="4" w:space="0" w:color="auto"/>
            </w:tcBorders>
            <w:noWrap/>
            <w:vAlign w:val="bottom"/>
            <w:hideMark/>
          </w:tcPr>
          <w:p w14:paraId="4586E13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50.64%</w:t>
            </w:r>
          </w:p>
        </w:tc>
        <w:tc>
          <w:tcPr>
            <w:tcW w:w="960" w:type="dxa"/>
            <w:tcBorders>
              <w:top w:val="nil"/>
              <w:left w:val="nil"/>
              <w:bottom w:val="single" w:sz="4" w:space="0" w:color="auto"/>
              <w:right w:val="single" w:sz="4" w:space="0" w:color="auto"/>
            </w:tcBorders>
            <w:noWrap/>
            <w:vAlign w:val="bottom"/>
            <w:hideMark/>
          </w:tcPr>
          <w:p w14:paraId="627A1D18"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51.82%</w:t>
            </w:r>
          </w:p>
        </w:tc>
        <w:tc>
          <w:tcPr>
            <w:tcW w:w="960" w:type="dxa"/>
            <w:tcBorders>
              <w:top w:val="nil"/>
              <w:left w:val="nil"/>
              <w:bottom w:val="nil"/>
              <w:right w:val="nil"/>
            </w:tcBorders>
            <w:noWrap/>
            <w:vAlign w:val="bottom"/>
            <w:hideMark/>
          </w:tcPr>
          <w:p w14:paraId="01BB0B1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925A98" w:rsidRPr="00F057FA" w14:paraId="70DE977B"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62FD4285"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28EDCE7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45.80%</w:t>
            </w:r>
          </w:p>
        </w:tc>
        <w:tc>
          <w:tcPr>
            <w:tcW w:w="960" w:type="dxa"/>
            <w:tcBorders>
              <w:top w:val="nil"/>
              <w:left w:val="nil"/>
              <w:bottom w:val="single" w:sz="4" w:space="0" w:color="auto"/>
              <w:right w:val="single" w:sz="4" w:space="0" w:color="auto"/>
            </w:tcBorders>
            <w:noWrap/>
            <w:vAlign w:val="bottom"/>
            <w:hideMark/>
          </w:tcPr>
          <w:p w14:paraId="4615B4FE"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46.20%</w:t>
            </w:r>
          </w:p>
        </w:tc>
        <w:tc>
          <w:tcPr>
            <w:tcW w:w="980" w:type="dxa"/>
            <w:tcBorders>
              <w:top w:val="nil"/>
              <w:left w:val="nil"/>
              <w:bottom w:val="single" w:sz="4" w:space="0" w:color="auto"/>
              <w:right w:val="single" w:sz="4" w:space="0" w:color="auto"/>
            </w:tcBorders>
            <w:noWrap/>
            <w:vAlign w:val="bottom"/>
            <w:hideMark/>
          </w:tcPr>
          <w:p w14:paraId="49CD5C59"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47.30%</w:t>
            </w:r>
          </w:p>
        </w:tc>
        <w:tc>
          <w:tcPr>
            <w:tcW w:w="960" w:type="dxa"/>
            <w:tcBorders>
              <w:top w:val="nil"/>
              <w:left w:val="nil"/>
              <w:bottom w:val="single" w:sz="4" w:space="0" w:color="auto"/>
              <w:right w:val="single" w:sz="4" w:space="0" w:color="auto"/>
            </w:tcBorders>
            <w:noWrap/>
            <w:vAlign w:val="bottom"/>
            <w:hideMark/>
          </w:tcPr>
          <w:p w14:paraId="665CA7A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49.31%</w:t>
            </w:r>
          </w:p>
        </w:tc>
        <w:tc>
          <w:tcPr>
            <w:tcW w:w="960" w:type="dxa"/>
            <w:tcBorders>
              <w:top w:val="nil"/>
              <w:left w:val="nil"/>
              <w:bottom w:val="single" w:sz="4" w:space="0" w:color="auto"/>
              <w:right w:val="single" w:sz="4" w:space="0" w:color="auto"/>
            </w:tcBorders>
            <w:noWrap/>
            <w:vAlign w:val="bottom"/>
            <w:hideMark/>
          </w:tcPr>
          <w:p w14:paraId="0B97E1DF"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51.71%</w:t>
            </w:r>
          </w:p>
        </w:tc>
        <w:tc>
          <w:tcPr>
            <w:tcW w:w="960" w:type="dxa"/>
            <w:tcBorders>
              <w:top w:val="nil"/>
              <w:left w:val="nil"/>
              <w:bottom w:val="nil"/>
              <w:right w:val="nil"/>
            </w:tcBorders>
            <w:noWrap/>
            <w:vAlign w:val="bottom"/>
            <w:hideMark/>
          </w:tcPr>
          <w:p w14:paraId="5CC0F0B1"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925A98" w:rsidRPr="00F057FA" w14:paraId="7FB5C340"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26663A14"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3ACED66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251</w:t>
            </w:r>
          </w:p>
        </w:tc>
        <w:tc>
          <w:tcPr>
            <w:tcW w:w="960" w:type="dxa"/>
            <w:tcBorders>
              <w:top w:val="nil"/>
              <w:left w:val="nil"/>
              <w:bottom w:val="single" w:sz="4" w:space="0" w:color="auto"/>
              <w:right w:val="single" w:sz="4" w:space="0" w:color="auto"/>
            </w:tcBorders>
            <w:noWrap/>
            <w:vAlign w:val="bottom"/>
            <w:hideMark/>
          </w:tcPr>
          <w:p w14:paraId="2C04E02D"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319</w:t>
            </w:r>
          </w:p>
        </w:tc>
        <w:tc>
          <w:tcPr>
            <w:tcW w:w="980" w:type="dxa"/>
            <w:tcBorders>
              <w:top w:val="nil"/>
              <w:left w:val="nil"/>
              <w:bottom w:val="single" w:sz="4" w:space="0" w:color="auto"/>
              <w:right w:val="single" w:sz="4" w:space="0" w:color="auto"/>
            </w:tcBorders>
            <w:noWrap/>
            <w:vAlign w:val="bottom"/>
            <w:hideMark/>
          </w:tcPr>
          <w:p w14:paraId="5218EA40"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285</w:t>
            </w:r>
          </w:p>
        </w:tc>
        <w:tc>
          <w:tcPr>
            <w:tcW w:w="960" w:type="dxa"/>
            <w:tcBorders>
              <w:top w:val="nil"/>
              <w:left w:val="nil"/>
              <w:bottom w:val="single" w:sz="4" w:space="0" w:color="auto"/>
              <w:right w:val="single" w:sz="4" w:space="0" w:color="auto"/>
            </w:tcBorders>
            <w:noWrap/>
            <w:vAlign w:val="bottom"/>
            <w:hideMark/>
          </w:tcPr>
          <w:p w14:paraId="20DF732B"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192</w:t>
            </w:r>
          </w:p>
        </w:tc>
        <w:tc>
          <w:tcPr>
            <w:tcW w:w="960" w:type="dxa"/>
            <w:tcBorders>
              <w:top w:val="nil"/>
              <w:left w:val="nil"/>
              <w:bottom w:val="single" w:sz="4" w:space="0" w:color="auto"/>
              <w:right w:val="single" w:sz="4" w:space="0" w:color="auto"/>
            </w:tcBorders>
            <w:noWrap/>
            <w:vAlign w:val="bottom"/>
            <w:hideMark/>
          </w:tcPr>
          <w:p w14:paraId="3751EAE6"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240</w:t>
            </w:r>
          </w:p>
        </w:tc>
        <w:tc>
          <w:tcPr>
            <w:tcW w:w="960" w:type="dxa"/>
            <w:tcBorders>
              <w:top w:val="nil"/>
              <w:left w:val="nil"/>
              <w:bottom w:val="nil"/>
              <w:right w:val="nil"/>
            </w:tcBorders>
            <w:noWrap/>
            <w:vAlign w:val="bottom"/>
            <w:hideMark/>
          </w:tcPr>
          <w:p w14:paraId="5CAD4ED2"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r w:rsidR="00925A98" w:rsidRPr="00F057FA" w14:paraId="33618EFA" w14:textId="77777777" w:rsidTr="00925A98">
        <w:trPr>
          <w:trHeight w:val="290"/>
        </w:trPr>
        <w:tc>
          <w:tcPr>
            <w:tcW w:w="4680" w:type="dxa"/>
            <w:tcBorders>
              <w:top w:val="nil"/>
              <w:left w:val="single" w:sz="4" w:space="0" w:color="auto"/>
              <w:bottom w:val="single" w:sz="4" w:space="0" w:color="auto"/>
              <w:right w:val="single" w:sz="4" w:space="0" w:color="auto"/>
            </w:tcBorders>
            <w:noWrap/>
            <w:vAlign w:val="bottom"/>
            <w:hideMark/>
          </w:tcPr>
          <w:p w14:paraId="7B105CD7" w14:textId="77777777" w:rsidR="00925A98" w:rsidRPr="00F057FA" w:rsidRDefault="00925A9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3DC6A834"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697</w:t>
            </w:r>
          </w:p>
        </w:tc>
        <w:tc>
          <w:tcPr>
            <w:tcW w:w="960" w:type="dxa"/>
            <w:tcBorders>
              <w:top w:val="nil"/>
              <w:left w:val="nil"/>
              <w:bottom w:val="single" w:sz="4" w:space="0" w:color="auto"/>
              <w:right w:val="single" w:sz="4" w:space="0" w:color="auto"/>
            </w:tcBorders>
            <w:noWrap/>
            <w:vAlign w:val="bottom"/>
            <w:hideMark/>
          </w:tcPr>
          <w:p w14:paraId="092FB5BA"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762</w:t>
            </w:r>
          </w:p>
        </w:tc>
        <w:tc>
          <w:tcPr>
            <w:tcW w:w="980" w:type="dxa"/>
            <w:tcBorders>
              <w:top w:val="nil"/>
              <w:left w:val="nil"/>
              <w:bottom w:val="single" w:sz="4" w:space="0" w:color="auto"/>
              <w:right w:val="single" w:sz="4" w:space="0" w:color="auto"/>
            </w:tcBorders>
            <w:noWrap/>
            <w:vAlign w:val="bottom"/>
            <w:hideMark/>
          </w:tcPr>
          <w:p w14:paraId="065B4417"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745</w:t>
            </w:r>
          </w:p>
        </w:tc>
        <w:tc>
          <w:tcPr>
            <w:tcW w:w="960" w:type="dxa"/>
            <w:tcBorders>
              <w:top w:val="nil"/>
              <w:left w:val="nil"/>
              <w:bottom w:val="single" w:sz="4" w:space="0" w:color="auto"/>
              <w:right w:val="single" w:sz="4" w:space="0" w:color="auto"/>
            </w:tcBorders>
            <w:noWrap/>
            <w:vAlign w:val="bottom"/>
            <w:hideMark/>
          </w:tcPr>
          <w:p w14:paraId="764FDD93"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428</w:t>
            </w:r>
          </w:p>
        </w:tc>
        <w:tc>
          <w:tcPr>
            <w:tcW w:w="960" w:type="dxa"/>
            <w:tcBorders>
              <w:top w:val="nil"/>
              <w:left w:val="nil"/>
              <w:bottom w:val="single" w:sz="4" w:space="0" w:color="auto"/>
              <w:right w:val="single" w:sz="4" w:space="0" w:color="auto"/>
            </w:tcBorders>
            <w:noWrap/>
            <w:vAlign w:val="bottom"/>
            <w:hideMark/>
          </w:tcPr>
          <w:p w14:paraId="70F44B95"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530</w:t>
            </w:r>
          </w:p>
        </w:tc>
        <w:tc>
          <w:tcPr>
            <w:tcW w:w="960" w:type="dxa"/>
            <w:tcBorders>
              <w:top w:val="nil"/>
              <w:left w:val="nil"/>
              <w:bottom w:val="nil"/>
              <w:right w:val="nil"/>
            </w:tcBorders>
            <w:noWrap/>
            <w:vAlign w:val="bottom"/>
            <w:hideMark/>
          </w:tcPr>
          <w:p w14:paraId="670484A5" w14:textId="77777777" w:rsidR="00925A98" w:rsidRPr="00F057FA" w:rsidRDefault="00925A98" w:rsidP="00F057FA">
            <w:pPr>
              <w:spacing w:after="0" w:line="240" w:lineRule="auto"/>
              <w:jc w:val="right"/>
              <w:rPr>
                <w:rFonts w:ascii="Aptos" w:eastAsia="Times New Roman" w:hAnsi="Aptos" w:cs="Times New Roman"/>
                <w:color w:val="000000"/>
                <w:kern w:val="0"/>
                <w:sz w:val="22"/>
                <w:szCs w:val="22"/>
                <w:lang w:eastAsia="en-GB"/>
                <w14:ligatures w14:val="none"/>
              </w:rPr>
            </w:pPr>
          </w:p>
        </w:tc>
      </w:tr>
    </w:tbl>
    <w:p w14:paraId="2C6A07CA" w14:textId="77777777" w:rsidR="008519B6" w:rsidRPr="00F057FA" w:rsidRDefault="008519B6" w:rsidP="00F057FA">
      <w:pPr>
        <w:spacing w:after="0" w:line="240" w:lineRule="auto"/>
        <w:rPr>
          <w:rFonts w:ascii="Aptos" w:hAnsi="Aptos"/>
        </w:rPr>
      </w:pPr>
    </w:p>
    <w:p w14:paraId="7AB9A187" w14:textId="77777777" w:rsidR="008519B6" w:rsidRPr="00F057FA" w:rsidRDefault="008519B6" w:rsidP="00F057FA">
      <w:pPr>
        <w:pStyle w:val="Heading1"/>
        <w:spacing w:before="0" w:after="0" w:line="240" w:lineRule="auto"/>
        <w:rPr>
          <w:rFonts w:ascii="Aptos" w:hAnsi="Aptos"/>
        </w:rPr>
      </w:pPr>
      <w:bookmarkStart w:id="16" w:name="_Toc198627465"/>
      <w:r w:rsidRPr="00F057FA">
        <w:rPr>
          <w:rFonts w:ascii="Aptos" w:hAnsi="Aptos"/>
        </w:rPr>
        <w:t>Metric 5 - Percentage of staff believing that their organisation provides equal opportunities for career progression or promotion.</w:t>
      </w:r>
      <w:bookmarkEnd w:id="16"/>
      <w:r w:rsidRPr="00F057FA">
        <w:rPr>
          <w:rFonts w:ascii="Aptos" w:hAnsi="Aptos"/>
        </w:rPr>
        <w:t xml:space="preserve"> </w:t>
      </w:r>
    </w:p>
    <w:p w14:paraId="3E76AD62" w14:textId="65FFB1BB" w:rsidR="008519B6" w:rsidRDefault="008519B6" w:rsidP="00F057FA">
      <w:pPr>
        <w:spacing w:after="0" w:line="240" w:lineRule="auto"/>
        <w:rPr>
          <w:rFonts w:ascii="Aptos" w:hAnsi="Aptos" w:cs="Arial"/>
        </w:rPr>
      </w:pPr>
      <w:r w:rsidRPr="00F057FA">
        <w:rPr>
          <w:rFonts w:ascii="Aptos" w:hAnsi="Aptos" w:cs="Arial"/>
        </w:rPr>
        <w:t>In 2024, there was a 0.</w:t>
      </w:r>
      <w:r w:rsidR="00925A98" w:rsidRPr="00F057FA">
        <w:rPr>
          <w:rFonts w:ascii="Aptos" w:hAnsi="Aptos" w:cs="Arial"/>
        </w:rPr>
        <w:t>41%</w:t>
      </w:r>
      <w:r w:rsidRPr="00F057FA">
        <w:rPr>
          <w:rFonts w:ascii="Aptos" w:hAnsi="Aptos" w:cs="Arial"/>
        </w:rPr>
        <w:t xml:space="preserve"> improvement in perceptions of equal opportunities for career progression or promotion. </w:t>
      </w:r>
      <w:r w:rsidR="00925A98" w:rsidRPr="00F057FA">
        <w:rPr>
          <w:rFonts w:ascii="Aptos" w:hAnsi="Aptos" w:cs="Arial"/>
        </w:rPr>
        <w:t xml:space="preserve">51.97 % of </w:t>
      </w:r>
      <w:r w:rsidRPr="00F057FA">
        <w:rPr>
          <w:rFonts w:ascii="Aptos" w:hAnsi="Aptos" w:cs="Arial"/>
        </w:rPr>
        <w:t>staff with a long-term condition or illness</w:t>
      </w:r>
      <w:r w:rsidR="001F1F42" w:rsidRPr="00F057FA">
        <w:rPr>
          <w:rFonts w:ascii="Aptos" w:hAnsi="Aptos" w:cs="Arial"/>
        </w:rPr>
        <w:t xml:space="preserve"> </w:t>
      </w:r>
      <w:r w:rsidRPr="00F057FA">
        <w:rPr>
          <w:rFonts w:ascii="Aptos" w:hAnsi="Aptos" w:cs="Arial"/>
        </w:rPr>
        <w:t xml:space="preserve">felt they had equal opportunities, compared to </w:t>
      </w:r>
      <w:r w:rsidR="00925A98" w:rsidRPr="00F057FA">
        <w:rPr>
          <w:rFonts w:ascii="Aptos" w:hAnsi="Aptos" w:cs="Arial"/>
        </w:rPr>
        <w:t>55%</w:t>
      </w:r>
      <w:r w:rsidR="001F1F42" w:rsidRPr="00F057FA">
        <w:rPr>
          <w:rFonts w:ascii="Aptos" w:hAnsi="Aptos" w:cs="Arial"/>
        </w:rPr>
        <w:t xml:space="preserve"> </w:t>
      </w:r>
      <w:r w:rsidRPr="00F057FA">
        <w:rPr>
          <w:rFonts w:ascii="Aptos" w:hAnsi="Aptos" w:cs="Arial"/>
        </w:rPr>
        <w:t xml:space="preserve">of staff without a long-term condition or illness, narrowing the gap between </w:t>
      </w:r>
      <w:r w:rsidR="00925A98" w:rsidRPr="00F057FA">
        <w:rPr>
          <w:rFonts w:ascii="Aptos" w:hAnsi="Aptos" w:cs="Arial"/>
        </w:rPr>
        <w:t xml:space="preserve">colleagues with a disability and </w:t>
      </w:r>
      <w:r w:rsidR="001F1F42" w:rsidRPr="00F057FA">
        <w:rPr>
          <w:rFonts w:ascii="Aptos" w:hAnsi="Aptos" w:cs="Arial"/>
        </w:rPr>
        <w:t>long-term</w:t>
      </w:r>
      <w:r w:rsidR="00925A98" w:rsidRPr="00F057FA">
        <w:rPr>
          <w:rFonts w:ascii="Aptos" w:hAnsi="Aptos" w:cs="Arial"/>
        </w:rPr>
        <w:t xml:space="preserve"> health condition and those without</w:t>
      </w:r>
      <w:r w:rsidR="001F1F42" w:rsidRPr="00F057FA">
        <w:rPr>
          <w:rFonts w:ascii="Aptos" w:hAnsi="Aptos" w:cs="Arial"/>
        </w:rPr>
        <w:t>.</w:t>
      </w:r>
    </w:p>
    <w:p w14:paraId="42255E91" w14:textId="77777777" w:rsidR="004A311D" w:rsidRPr="00F057FA" w:rsidRDefault="004A311D" w:rsidP="004A311D">
      <w:pPr>
        <w:spacing w:after="0" w:line="240" w:lineRule="auto"/>
        <w:rPr>
          <w:rFonts w:ascii="Aptos" w:hAnsi="Aptos"/>
        </w:rPr>
      </w:pPr>
    </w:p>
    <w:p w14:paraId="2EA9B100" w14:textId="77777777" w:rsidR="004A311D" w:rsidRPr="00F057FA" w:rsidRDefault="004A311D" w:rsidP="004A311D">
      <w:pPr>
        <w:spacing w:after="0" w:line="240" w:lineRule="auto"/>
        <w:rPr>
          <w:rFonts w:ascii="Aptos" w:hAnsi="Aptos"/>
        </w:rPr>
      </w:pPr>
      <w:r w:rsidRPr="00F057FA">
        <w:rPr>
          <w:rFonts w:ascii="Aptos" w:hAnsi="Aptos"/>
        </w:rPr>
        <w:t>Table 5: Workforce Disability Equality Data for Metric 5 from 2020 to 2024.</w:t>
      </w:r>
    </w:p>
    <w:p w14:paraId="16999766" w14:textId="77777777" w:rsidR="000F53A3" w:rsidRPr="00F057FA" w:rsidRDefault="000F53A3" w:rsidP="00F057FA">
      <w:pPr>
        <w:spacing w:after="0" w:line="240" w:lineRule="auto"/>
        <w:rPr>
          <w:rFonts w:ascii="Aptos" w:hAnsi="Aptos" w:cs="Arial"/>
        </w:rPr>
      </w:pPr>
    </w:p>
    <w:p w14:paraId="69E64D75" w14:textId="491FB494" w:rsidR="008519B6" w:rsidRPr="00F057FA" w:rsidRDefault="00925A98" w:rsidP="00F057FA">
      <w:pPr>
        <w:spacing w:after="0" w:line="240" w:lineRule="auto"/>
        <w:rPr>
          <w:rFonts w:ascii="Aptos" w:hAnsi="Aptos"/>
        </w:rPr>
      </w:pPr>
      <w:r w:rsidRPr="00F057FA">
        <w:rPr>
          <w:rFonts w:ascii="Aptos" w:hAnsi="Aptos"/>
          <w:noProof/>
        </w:rPr>
        <w:drawing>
          <wp:inline distT="0" distB="0" distL="0" distR="0" wp14:anchorId="605F75F1" wp14:editId="5E6D0EE2">
            <wp:extent cx="5731510" cy="2084070"/>
            <wp:effectExtent l="0" t="0" r="2540" b="0"/>
            <wp:docPr id="845251115" name="Picture 1" descr="In 2024, there was a 0.41% improvement in perceptions of equal opportunities for career progression or promotion. 51.97 % of staff with a long-term condition or illness felt they had equal opportunities, compared to 55% of staff without a long-term condition or illness.">
              <a:extLst xmlns:a="http://schemas.openxmlformats.org/drawingml/2006/main">
                <a:ext uri="{FF2B5EF4-FFF2-40B4-BE49-F238E27FC236}">
                  <a16:creationId xmlns:a16="http://schemas.microsoft.com/office/drawing/2014/main" id="{F478EF4B-CA89-72C9-1B10-6D31754F9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51115" name="Picture 1" descr="In 2024, there was a 0.41% improvement in perceptions of equal opportunities for career progression or promotion. 51.97 % of staff with a long-term condition or illness felt they had equal opportunities, compared to 55% of staff without a long-term condition or illness.">
                      <a:extLst>
                        <a:ext uri="{FF2B5EF4-FFF2-40B4-BE49-F238E27FC236}">
                          <a16:creationId xmlns:a16="http://schemas.microsoft.com/office/drawing/2014/main" id="{F478EF4B-CA89-72C9-1B10-6D31754F9357}"/>
                        </a:ext>
                      </a:extLst>
                    </pic:cNvPr>
                    <pic:cNvPicPr>
                      <a:picLocks noChangeAspect="1"/>
                    </pic:cNvPicPr>
                  </pic:nvPicPr>
                  <pic:blipFill>
                    <a:blip r:embed="rId18"/>
                    <a:stretch>
                      <a:fillRect/>
                    </a:stretch>
                  </pic:blipFill>
                  <pic:spPr>
                    <a:xfrm>
                      <a:off x="0" y="0"/>
                      <a:ext cx="5731510" cy="2084070"/>
                    </a:xfrm>
                    <a:prstGeom prst="rect">
                      <a:avLst/>
                    </a:prstGeom>
                  </pic:spPr>
                </pic:pic>
              </a:graphicData>
            </a:graphic>
          </wp:inline>
        </w:drawing>
      </w:r>
    </w:p>
    <w:p w14:paraId="43367EEF" w14:textId="22A2CBAC" w:rsidR="008519B6" w:rsidRPr="00F057FA" w:rsidRDefault="008519B6" w:rsidP="00F057FA">
      <w:pPr>
        <w:spacing w:after="0" w:line="240" w:lineRule="auto"/>
        <w:rPr>
          <w:rFonts w:ascii="Aptos" w:hAnsi="Aptos"/>
        </w:rPr>
      </w:pPr>
    </w:p>
    <w:p w14:paraId="1CB07337" w14:textId="4574DD83" w:rsidR="008519B6" w:rsidRPr="00F057FA" w:rsidRDefault="008519B6" w:rsidP="00F057FA">
      <w:pPr>
        <w:spacing w:after="0" w:line="240" w:lineRule="auto"/>
        <w:rPr>
          <w:rFonts w:ascii="Aptos" w:hAnsi="Aptos"/>
        </w:rPr>
      </w:pPr>
      <w:r w:rsidRPr="00F057FA">
        <w:rPr>
          <w:rFonts w:ascii="Aptos" w:hAnsi="Aptos"/>
        </w:rPr>
        <w:t>.</w:t>
      </w:r>
    </w:p>
    <w:tbl>
      <w:tblPr>
        <w:tblW w:w="8720" w:type="dxa"/>
        <w:tblLook w:val="04A0" w:firstRow="1" w:lastRow="0" w:firstColumn="1" w:lastColumn="0" w:noHBand="0" w:noVBand="1"/>
      </w:tblPr>
      <w:tblGrid>
        <w:gridCol w:w="3920"/>
        <w:gridCol w:w="960"/>
        <w:gridCol w:w="960"/>
        <w:gridCol w:w="960"/>
        <w:gridCol w:w="960"/>
        <w:gridCol w:w="960"/>
      </w:tblGrid>
      <w:tr w:rsidR="001F1F42" w:rsidRPr="00F057FA" w14:paraId="094F7C67" w14:textId="77777777" w:rsidTr="001F1F42">
        <w:trPr>
          <w:trHeight w:val="29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7414637D" w14:textId="77777777" w:rsidR="001F1F42" w:rsidRPr="00F057FA" w:rsidRDefault="001F1F42"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lastRenderedPageBreak/>
              <w:t>Staff group</w:t>
            </w:r>
          </w:p>
        </w:tc>
        <w:tc>
          <w:tcPr>
            <w:tcW w:w="960" w:type="dxa"/>
            <w:tcBorders>
              <w:top w:val="single" w:sz="4" w:space="0" w:color="auto"/>
              <w:left w:val="nil"/>
              <w:bottom w:val="single" w:sz="4" w:space="0" w:color="auto"/>
              <w:right w:val="single" w:sz="4" w:space="0" w:color="auto"/>
            </w:tcBorders>
            <w:noWrap/>
            <w:vAlign w:val="bottom"/>
            <w:hideMark/>
          </w:tcPr>
          <w:p w14:paraId="4D39B05D"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392FC6AA"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78E52A4A"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0A94647A"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79DF5F14"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1F1F42" w:rsidRPr="00F057FA" w14:paraId="50EF92A8"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496431E4"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23DAD3B1"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45.12%</w:t>
            </w:r>
          </w:p>
        </w:tc>
        <w:tc>
          <w:tcPr>
            <w:tcW w:w="960" w:type="dxa"/>
            <w:tcBorders>
              <w:top w:val="nil"/>
              <w:left w:val="nil"/>
              <w:bottom w:val="single" w:sz="4" w:space="0" w:color="auto"/>
              <w:right w:val="single" w:sz="4" w:space="0" w:color="auto"/>
            </w:tcBorders>
            <w:noWrap/>
            <w:vAlign w:val="bottom"/>
            <w:hideMark/>
          </w:tcPr>
          <w:p w14:paraId="1CF7FB4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47.63%</w:t>
            </w:r>
          </w:p>
        </w:tc>
        <w:tc>
          <w:tcPr>
            <w:tcW w:w="960" w:type="dxa"/>
            <w:tcBorders>
              <w:top w:val="nil"/>
              <w:left w:val="nil"/>
              <w:bottom w:val="single" w:sz="4" w:space="0" w:color="auto"/>
              <w:right w:val="single" w:sz="4" w:space="0" w:color="auto"/>
            </w:tcBorders>
            <w:noWrap/>
            <w:vAlign w:val="bottom"/>
            <w:hideMark/>
          </w:tcPr>
          <w:p w14:paraId="7070962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47.58%</w:t>
            </w:r>
          </w:p>
        </w:tc>
        <w:tc>
          <w:tcPr>
            <w:tcW w:w="960" w:type="dxa"/>
            <w:tcBorders>
              <w:top w:val="nil"/>
              <w:left w:val="nil"/>
              <w:bottom w:val="single" w:sz="4" w:space="0" w:color="auto"/>
              <w:right w:val="single" w:sz="4" w:space="0" w:color="auto"/>
            </w:tcBorders>
            <w:noWrap/>
            <w:vAlign w:val="bottom"/>
            <w:hideMark/>
          </w:tcPr>
          <w:p w14:paraId="2A3E616B"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51.56%</w:t>
            </w:r>
          </w:p>
        </w:tc>
        <w:tc>
          <w:tcPr>
            <w:tcW w:w="960" w:type="dxa"/>
            <w:tcBorders>
              <w:top w:val="nil"/>
              <w:left w:val="nil"/>
              <w:bottom w:val="single" w:sz="4" w:space="0" w:color="auto"/>
              <w:right w:val="single" w:sz="4" w:space="0" w:color="auto"/>
            </w:tcBorders>
            <w:noWrap/>
            <w:vAlign w:val="bottom"/>
            <w:hideMark/>
          </w:tcPr>
          <w:p w14:paraId="362BFF58"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51.97%</w:t>
            </w:r>
          </w:p>
        </w:tc>
      </w:tr>
      <w:tr w:rsidR="001F1F42" w:rsidRPr="00F057FA" w14:paraId="315AE46E"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11DA2002"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780AB28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52.84%</w:t>
            </w:r>
          </w:p>
        </w:tc>
        <w:tc>
          <w:tcPr>
            <w:tcW w:w="960" w:type="dxa"/>
            <w:tcBorders>
              <w:top w:val="nil"/>
              <w:left w:val="nil"/>
              <w:bottom w:val="single" w:sz="4" w:space="0" w:color="auto"/>
              <w:right w:val="single" w:sz="4" w:space="0" w:color="auto"/>
            </w:tcBorders>
            <w:noWrap/>
            <w:vAlign w:val="bottom"/>
            <w:hideMark/>
          </w:tcPr>
          <w:p w14:paraId="4D70FCE1"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52.89%</w:t>
            </w:r>
          </w:p>
        </w:tc>
        <w:tc>
          <w:tcPr>
            <w:tcW w:w="960" w:type="dxa"/>
            <w:tcBorders>
              <w:top w:val="nil"/>
              <w:left w:val="nil"/>
              <w:bottom w:val="single" w:sz="4" w:space="0" w:color="auto"/>
              <w:right w:val="single" w:sz="4" w:space="0" w:color="auto"/>
            </w:tcBorders>
            <w:noWrap/>
            <w:vAlign w:val="bottom"/>
            <w:hideMark/>
          </w:tcPr>
          <w:p w14:paraId="02A210F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51.92%</w:t>
            </w:r>
          </w:p>
        </w:tc>
        <w:tc>
          <w:tcPr>
            <w:tcW w:w="960" w:type="dxa"/>
            <w:tcBorders>
              <w:top w:val="nil"/>
              <w:left w:val="nil"/>
              <w:bottom w:val="single" w:sz="4" w:space="0" w:color="auto"/>
              <w:right w:val="single" w:sz="4" w:space="0" w:color="auto"/>
            </w:tcBorders>
            <w:noWrap/>
            <w:vAlign w:val="bottom"/>
            <w:hideMark/>
          </w:tcPr>
          <w:p w14:paraId="1E729E2B"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54.00%</w:t>
            </w:r>
          </w:p>
        </w:tc>
        <w:tc>
          <w:tcPr>
            <w:tcW w:w="960" w:type="dxa"/>
            <w:tcBorders>
              <w:top w:val="nil"/>
              <w:left w:val="nil"/>
              <w:bottom w:val="single" w:sz="4" w:space="0" w:color="auto"/>
              <w:right w:val="single" w:sz="4" w:space="0" w:color="auto"/>
            </w:tcBorders>
            <w:noWrap/>
            <w:vAlign w:val="bottom"/>
            <w:hideMark/>
          </w:tcPr>
          <w:p w14:paraId="2E2A8C73"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55.56%</w:t>
            </w:r>
          </w:p>
        </w:tc>
      </w:tr>
      <w:tr w:rsidR="001F1F42" w:rsidRPr="00F057FA" w14:paraId="792EDEE6"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06FA22D6"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45171B2C"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51.61%</w:t>
            </w:r>
          </w:p>
        </w:tc>
        <w:tc>
          <w:tcPr>
            <w:tcW w:w="960" w:type="dxa"/>
            <w:tcBorders>
              <w:top w:val="nil"/>
              <w:left w:val="nil"/>
              <w:bottom w:val="single" w:sz="4" w:space="0" w:color="auto"/>
              <w:right w:val="single" w:sz="4" w:space="0" w:color="auto"/>
            </w:tcBorders>
            <w:noWrap/>
            <w:vAlign w:val="bottom"/>
            <w:hideMark/>
          </w:tcPr>
          <w:p w14:paraId="227A400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51.41%</w:t>
            </w:r>
          </w:p>
        </w:tc>
        <w:tc>
          <w:tcPr>
            <w:tcW w:w="960" w:type="dxa"/>
            <w:tcBorders>
              <w:top w:val="nil"/>
              <w:left w:val="nil"/>
              <w:bottom w:val="single" w:sz="4" w:space="0" w:color="auto"/>
              <w:right w:val="single" w:sz="4" w:space="0" w:color="auto"/>
            </w:tcBorders>
            <w:noWrap/>
            <w:vAlign w:val="bottom"/>
            <w:hideMark/>
          </w:tcPr>
          <w:p w14:paraId="46F611BF"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51.39%</w:t>
            </w:r>
          </w:p>
        </w:tc>
        <w:tc>
          <w:tcPr>
            <w:tcW w:w="960" w:type="dxa"/>
            <w:tcBorders>
              <w:top w:val="nil"/>
              <w:left w:val="nil"/>
              <w:bottom w:val="single" w:sz="4" w:space="0" w:color="auto"/>
              <w:right w:val="single" w:sz="4" w:space="0" w:color="auto"/>
            </w:tcBorders>
            <w:noWrap/>
            <w:vAlign w:val="bottom"/>
            <w:hideMark/>
          </w:tcPr>
          <w:p w14:paraId="6913ACB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51.54%</w:t>
            </w:r>
          </w:p>
        </w:tc>
        <w:tc>
          <w:tcPr>
            <w:tcW w:w="960" w:type="dxa"/>
            <w:tcBorders>
              <w:top w:val="nil"/>
              <w:left w:val="nil"/>
              <w:bottom w:val="single" w:sz="4" w:space="0" w:color="auto"/>
              <w:right w:val="single" w:sz="4" w:space="0" w:color="auto"/>
            </w:tcBorders>
            <w:noWrap/>
            <w:vAlign w:val="bottom"/>
            <w:hideMark/>
          </w:tcPr>
          <w:p w14:paraId="32D6E57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51.30%</w:t>
            </w:r>
          </w:p>
        </w:tc>
      </w:tr>
      <w:tr w:rsidR="001F1F42" w:rsidRPr="00F057FA" w14:paraId="597FAF56"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162A0C60"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66298B3A"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57.45%</w:t>
            </w:r>
          </w:p>
        </w:tc>
        <w:tc>
          <w:tcPr>
            <w:tcW w:w="960" w:type="dxa"/>
            <w:tcBorders>
              <w:top w:val="nil"/>
              <w:left w:val="nil"/>
              <w:bottom w:val="single" w:sz="4" w:space="0" w:color="auto"/>
              <w:right w:val="single" w:sz="4" w:space="0" w:color="auto"/>
            </w:tcBorders>
            <w:noWrap/>
            <w:vAlign w:val="bottom"/>
            <w:hideMark/>
          </w:tcPr>
          <w:p w14:paraId="62CF0D6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56.84%</w:t>
            </w:r>
          </w:p>
        </w:tc>
        <w:tc>
          <w:tcPr>
            <w:tcW w:w="960" w:type="dxa"/>
            <w:tcBorders>
              <w:top w:val="nil"/>
              <w:left w:val="nil"/>
              <w:bottom w:val="single" w:sz="4" w:space="0" w:color="auto"/>
              <w:right w:val="single" w:sz="4" w:space="0" w:color="auto"/>
            </w:tcBorders>
            <w:noWrap/>
            <w:vAlign w:val="bottom"/>
            <w:hideMark/>
          </w:tcPr>
          <w:p w14:paraId="3C431B3D"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57.25%</w:t>
            </w:r>
          </w:p>
        </w:tc>
        <w:tc>
          <w:tcPr>
            <w:tcW w:w="960" w:type="dxa"/>
            <w:tcBorders>
              <w:top w:val="nil"/>
              <w:left w:val="nil"/>
              <w:bottom w:val="single" w:sz="4" w:space="0" w:color="auto"/>
              <w:right w:val="single" w:sz="4" w:space="0" w:color="auto"/>
            </w:tcBorders>
            <w:noWrap/>
            <w:vAlign w:val="bottom"/>
            <w:hideMark/>
          </w:tcPr>
          <w:p w14:paraId="7578CAAC"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57.52%</w:t>
            </w:r>
          </w:p>
        </w:tc>
        <w:tc>
          <w:tcPr>
            <w:tcW w:w="960" w:type="dxa"/>
            <w:tcBorders>
              <w:top w:val="nil"/>
              <w:left w:val="nil"/>
              <w:bottom w:val="single" w:sz="4" w:space="0" w:color="auto"/>
              <w:right w:val="single" w:sz="4" w:space="0" w:color="auto"/>
            </w:tcBorders>
            <w:noWrap/>
            <w:vAlign w:val="bottom"/>
            <w:hideMark/>
          </w:tcPr>
          <w:p w14:paraId="36042EAF"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57.57%</w:t>
            </w:r>
          </w:p>
        </w:tc>
      </w:tr>
      <w:tr w:rsidR="001F1F42" w:rsidRPr="00F057FA" w14:paraId="464A17AD"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12766630"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633B0126"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543</w:t>
            </w:r>
          </w:p>
        </w:tc>
        <w:tc>
          <w:tcPr>
            <w:tcW w:w="960" w:type="dxa"/>
            <w:tcBorders>
              <w:top w:val="nil"/>
              <w:left w:val="nil"/>
              <w:bottom w:val="single" w:sz="4" w:space="0" w:color="auto"/>
              <w:right w:val="single" w:sz="4" w:space="0" w:color="auto"/>
            </w:tcBorders>
            <w:noWrap/>
            <w:vAlign w:val="bottom"/>
            <w:hideMark/>
          </w:tcPr>
          <w:p w14:paraId="69A7F41B"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590</w:t>
            </w:r>
          </w:p>
        </w:tc>
        <w:tc>
          <w:tcPr>
            <w:tcW w:w="960" w:type="dxa"/>
            <w:tcBorders>
              <w:top w:val="nil"/>
              <w:left w:val="nil"/>
              <w:bottom w:val="single" w:sz="4" w:space="0" w:color="auto"/>
              <w:right w:val="single" w:sz="4" w:space="0" w:color="auto"/>
            </w:tcBorders>
            <w:noWrap/>
            <w:vAlign w:val="bottom"/>
            <w:hideMark/>
          </w:tcPr>
          <w:p w14:paraId="6B4C9FD3"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578</w:t>
            </w:r>
          </w:p>
        </w:tc>
        <w:tc>
          <w:tcPr>
            <w:tcW w:w="960" w:type="dxa"/>
            <w:tcBorders>
              <w:top w:val="nil"/>
              <w:left w:val="nil"/>
              <w:bottom w:val="single" w:sz="4" w:space="0" w:color="auto"/>
              <w:right w:val="single" w:sz="4" w:space="0" w:color="auto"/>
            </w:tcBorders>
            <w:noWrap/>
            <w:vAlign w:val="bottom"/>
            <w:hideMark/>
          </w:tcPr>
          <w:p w14:paraId="759C50B1"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514</w:t>
            </w:r>
          </w:p>
        </w:tc>
        <w:tc>
          <w:tcPr>
            <w:tcW w:w="960" w:type="dxa"/>
            <w:tcBorders>
              <w:top w:val="nil"/>
              <w:left w:val="nil"/>
              <w:bottom w:val="single" w:sz="4" w:space="0" w:color="auto"/>
              <w:right w:val="single" w:sz="4" w:space="0" w:color="auto"/>
            </w:tcBorders>
            <w:noWrap/>
            <w:vAlign w:val="bottom"/>
            <w:hideMark/>
          </w:tcPr>
          <w:p w14:paraId="08D09E0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635</w:t>
            </w:r>
          </w:p>
        </w:tc>
      </w:tr>
      <w:tr w:rsidR="001F1F42" w:rsidRPr="00F057FA" w14:paraId="3CDB2C8F" w14:textId="77777777" w:rsidTr="001F1F42">
        <w:trPr>
          <w:trHeight w:val="290"/>
        </w:trPr>
        <w:tc>
          <w:tcPr>
            <w:tcW w:w="3920" w:type="dxa"/>
            <w:tcBorders>
              <w:top w:val="nil"/>
              <w:left w:val="single" w:sz="4" w:space="0" w:color="auto"/>
              <w:bottom w:val="single" w:sz="4" w:space="0" w:color="auto"/>
              <w:right w:val="single" w:sz="4" w:space="0" w:color="auto"/>
            </w:tcBorders>
            <w:noWrap/>
            <w:vAlign w:val="bottom"/>
            <w:hideMark/>
          </w:tcPr>
          <w:p w14:paraId="237B3219"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483DB249"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2199</w:t>
            </w:r>
          </w:p>
        </w:tc>
        <w:tc>
          <w:tcPr>
            <w:tcW w:w="960" w:type="dxa"/>
            <w:tcBorders>
              <w:top w:val="nil"/>
              <w:left w:val="nil"/>
              <w:bottom w:val="single" w:sz="4" w:space="0" w:color="auto"/>
              <w:right w:val="single" w:sz="4" w:space="0" w:color="auto"/>
            </w:tcBorders>
            <w:noWrap/>
            <w:vAlign w:val="bottom"/>
            <w:hideMark/>
          </w:tcPr>
          <w:p w14:paraId="01ED861F"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1993</w:t>
            </w:r>
          </w:p>
        </w:tc>
        <w:tc>
          <w:tcPr>
            <w:tcW w:w="960" w:type="dxa"/>
            <w:tcBorders>
              <w:top w:val="nil"/>
              <w:left w:val="nil"/>
              <w:bottom w:val="single" w:sz="4" w:space="0" w:color="auto"/>
              <w:right w:val="single" w:sz="4" w:space="0" w:color="auto"/>
            </w:tcBorders>
            <w:noWrap/>
            <w:vAlign w:val="bottom"/>
            <w:hideMark/>
          </w:tcPr>
          <w:p w14:paraId="103F0072"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2138</w:t>
            </w:r>
          </w:p>
        </w:tc>
        <w:tc>
          <w:tcPr>
            <w:tcW w:w="960" w:type="dxa"/>
            <w:tcBorders>
              <w:top w:val="nil"/>
              <w:left w:val="nil"/>
              <w:bottom w:val="single" w:sz="4" w:space="0" w:color="auto"/>
              <w:right w:val="single" w:sz="4" w:space="0" w:color="auto"/>
            </w:tcBorders>
            <w:noWrap/>
            <w:vAlign w:val="bottom"/>
            <w:hideMark/>
          </w:tcPr>
          <w:p w14:paraId="5C00DD32"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1698</w:t>
            </w:r>
          </w:p>
        </w:tc>
        <w:tc>
          <w:tcPr>
            <w:tcW w:w="960" w:type="dxa"/>
            <w:tcBorders>
              <w:top w:val="nil"/>
              <w:left w:val="nil"/>
              <w:bottom w:val="single" w:sz="4" w:space="0" w:color="auto"/>
              <w:right w:val="single" w:sz="4" w:space="0" w:color="auto"/>
            </w:tcBorders>
            <w:noWrap/>
            <w:vAlign w:val="bottom"/>
            <w:hideMark/>
          </w:tcPr>
          <w:p w14:paraId="2832B875"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2032</w:t>
            </w:r>
          </w:p>
        </w:tc>
      </w:tr>
    </w:tbl>
    <w:p w14:paraId="317EFA38" w14:textId="77777777" w:rsidR="008519B6" w:rsidRPr="00F057FA" w:rsidRDefault="008519B6" w:rsidP="00F057FA">
      <w:pPr>
        <w:spacing w:after="0" w:line="240" w:lineRule="auto"/>
        <w:rPr>
          <w:rFonts w:ascii="Aptos" w:hAnsi="Aptos"/>
        </w:rPr>
      </w:pPr>
    </w:p>
    <w:p w14:paraId="6F51FFB2" w14:textId="77777777" w:rsidR="008519B6" w:rsidRPr="00F057FA" w:rsidRDefault="008519B6" w:rsidP="00F057FA">
      <w:pPr>
        <w:pStyle w:val="Heading1"/>
        <w:spacing w:before="0" w:after="0" w:line="240" w:lineRule="auto"/>
        <w:rPr>
          <w:rFonts w:ascii="Aptos" w:hAnsi="Aptos"/>
        </w:rPr>
      </w:pPr>
      <w:bookmarkStart w:id="17" w:name="_Toc198627466"/>
      <w:r w:rsidRPr="00F057FA">
        <w:rPr>
          <w:rFonts w:ascii="Aptos" w:hAnsi="Aptos"/>
        </w:rPr>
        <w:t>Metric 6 - Percentage of staff who have felt pressure from their manager to come to work, despite not feeling well enough to perform their duties.</w:t>
      </w:r>
      <w:bookmarkEnd w:id="17"/>
      <w:r w:rsidRPr="00F057FA">
        <w:rPr>
          <w:rFonts w:ascii="Aptos" w:hAnsi="Aptos"/>
        </w:rPr>
        <w:t xml:space="preserve"> </w:t>
      </w:r>
    </w:p>
    <w:p w14:paraId="549A17A6" w14:textId="0AA0500A" w:rsidR="008519B6" w:rsidRDefault="008519B6" w:rsidP="00F057FA">
      <w:pPr>
        <w:spacing w:after="0" w:line="240" w:lineRule="auto"/>
        <w:rPr>
          <w:rFonts w:ascii="Aptos" w:hAnsi="Aptos" w:cs="Arial"/>
        </w:rPr>
      </w:pPr>
      <w:r w:rsidRPr="00F057FA">
        <w:rPr>
          <w:rFonts w:ascii="Aptos" w:hAnsi="Aptos" w:cs="Arial"/>
        </w:rPr>
        <w:t xml:space="preserve">In the 2024 survey, </w:t>
      </w:r>
      <w:r w:rsidR="001F1F42" w:rsidRPr="00F057FA">
        <w:rPr>
          <w:rFonts w:ascii="Aptos" w:hAnsi="Aptos" w:cs="Arial"/>
        </w:rPr>
        <w:t xml:space="preserve"> 27.94% </w:t>
      </w:r>
      <w:r w:rsidRPr="00F057FA">
        <w:rPr>
          <w:rFonts w:ascii="Aptos" w:hAnsi="Aptos" w:cs="Arial"/>
        </w:rPr>
        <w:t>of staff with a long-term condition or illness reported experiencing presenteeism, a decrease from 3</w:t>
      </w:r>
      <w:r w:rsidR="001F1F42" w:rsidRPr="00F057FA">
        <w:rPr>
          <w:rFonts w:ascii="Aptos" w:hAnsi="Aptos" w:cs="Arial"/>
        </w:rPr>
        <w:t xml:space="preserve">4.68% </w:t>
      </w:r>
      <w:r w:rsidRPr="00F057FA">
        <w:rPr>
          <w:rFonts w:ascii="Aptos" w:hAnsi="Aptos" w:cs="Arial"/>
        </w:rPr>
        <w:t xml:space="preserve"> in the previous year. In comparison, 2</w:t>
      </w:r>
      <w:r w:rsidR="001F1F42" w:rsidRPr="00F057FA">
        <w:rPr>
          <w:rFonts w:ascii="Aptos" w:hAnsi="Aptos" w:cs="Arial"/>
        </w:rPr>
        <w:t>2%</w:t>
      </w:r>
      <w:r w:rsidRPr="00F057FA">
        <w:rPr>
          <w:rFonts w:ascii="Aptos" w:hAnsi="Aptos" w:cs="Arial"/>
        </w:rPr>
        <w:t xml:space="preserve"> of staff without a long-term condition or illness felt pressure from their manager to come to work despite not being well enough</w:t>
      </w:r>
      <w:r w:rsidR="001F1F42" w:rsidRPr="00F057FA">
        <w:rPr>
          <w:rFonts w:ascii="Aptos" w:hAnsi="Aptos" w:cs="Arial"/>
        </w:rPr>
        <w:t>.</w:t>
      </w:r>
    </w:p>
    <w:p w14:paraId="7B0F734C" w14:textId="79927DD6" w:rsidR="000F53A3" w:rsidRPr="00F057FA" w:rsidRDefault="004A311D" w:rsidP="00F057FA">
      <w:pPr>
        <w:spacing w:after="0" w:line="240" w:lineRule="auto"/>
        <w:rPr>
          <w:rFonts w:ascii="Aptos" w:hAnsi="Aptos" w:cs="Arial"/>
        </w:rPr>
      </w:pPr>
      <w:r>
        <w:rPr>
          <w:rFonts w:ascii="Aptos" w:hAnsi="Aptos" w:cs="Arial"/>
        </w:rPr>
        <w:t>Table 6: Workforce Disability Equality Data for Metric 6 from 2020 to 2024</w:t>
      </w:r>
    </w:p>
    <w:p w14:paraId="368A2CAC" w14:textId="60C8FEF1" w:rsidR="008519B6" w:rsidRPr="00F057FA" w:rsidRDefault="001F1F42" w:rsidP="00F057FA">
      <w:pPr>
        <w:spacing w:after="0" w:line="240" w:lineRule="auto"/>
        <w:rPr>
          <w:rFonts w:ascii="Aptos" w:hAnsi="Aptos"/>
        </w:rPr>
      </w:pPr>
      <w:r w:rsidRPr="00F057FA">
        <w:rPr>
          <w:rFonts w:ascii="Aptos" w:hAnsi="Aptos"/>
          <w:noProof/>
        </w:rPr>
        <w:drawing>
          <wp:inline distT="0" distB="0" distL="0" distR="0" wp14:anchorId="3DC1E60E" wp14:editId="6163C3D2">
            <wp:extent cx="5731510" cy="2066925"/>
            <wp:effectExtent l="0" t="0" r="2540" b="9525"/>
            <wp:docPr id="1059940149" name="Picture 1" descr="In the 2024 survey,  27.94% of staff with a long-term condition or illness reported experiencing presenteeism, a decrease from 34.68%  in the previous year. In comparison, 22% of staff without a long-term condition or illness felt pressure from their manager to come to work despite not being well enough">
              <a:extLst xmlns:a="http://schemas.openxmlformats.org/drawingml/2006/main">
                <a:ext uri="{FF2B5EF4-FFF2-40B4-BE49-F238E27FC236}">
                  <a16:creationId xmlns:a16="http://schemas.microsoft.com/office/drawing/2014/main" id="{C0F6E937-9568-0501-9C95-45E9B03A0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40149" name="Picture 1" descr="In the 2024 survey,  27.94% of staff with a long-term condition or illness reported experiencing presenteeism, a decrease from 34.68%  in the previous year. In comparison, 22% of staff without a long-term condition or illness felt pressure from their manager to come to work despite not being well enough">
                      <a:extLst>
                        <a:ext uri="{FF2B5EF4-FFF2-40B4-BE49-F238E27FC236}">
                          <a16:creationId xmlns:a16="http://schemas.microsoft.com/office/drawing/2014/main" id="{C0F6E937-9568-0501-9C95-45E9B03A037A}"/>
                        </a:ext>
                      </a:extLst>
                    </pic:cNvPr>
                    <pic:cNvPicPr>
                      <a:picLocks noChangeAspect="1"/>
                    </pic:cNvPicPr>
                  </pic:nvPicPr>
                  <pic:blipFill>
                    <a:blip r:embed="rId19"/>
                    <a:stretch>
                      <a:fillRect/>
                    </a:stretch>
                  </pic:blipFill>
                  <pic:spPr>
                    <a:xfrm>
                      <a:off x="0" y="0"/>
                      <a:ext cx="5731510" cy="2066925"/>
                    </a:xfrm>
                    <a:prstGeom prst="rect">
                      <a:avLst/>
                    </a:prstGeom>
                  </pic:spPr>
                </pic:pic>
              </a:graphicData>
            </a:graphic>
          </wp:inline>
        </w:drawing>
      </w:r>
    </w:p>
    <w:p w14:paraId="6DE09581" w14:textId="77777777" w:rsidR="008519B6" w:rsidRPr="00F057FA" w:rsidRDefault="008519B6" w:rsidP="00F057FA">
      <w:pPr>
        <w:spacing w:after="0" w:line="240" w:lineRule="auto"/>
        <w:rPr>
          <w:rFonts w:ascii="Aptos" w:hAnsi="Aptos"/>
        </w:rPr>
      </w:pPr>
    </w:p>
    <w:p w14:paraId="5BD45997" w14:textId="2E427A36" w:rsidR="008519B6" w:rsidRPr="00F057FA" w:rsidRDefault="008519B6" w:rsidP="00F057FA">
      <w:pPr>
        <w:spacing w:after="0" w:line="240" w:lineRule="auto"/>
        <w:rPr>
          <w:rFonts w:ascii="Aptos" w:hAnsi="Aptos"/>
        </w:rPr>
      </w:pPr>
      <w:bookmarkStart w:id="18" w:name="_Hlk195607654"/>
    </w:p>
    <w:tbl>
      <w:tblPr>
        <w:tblW w:w="8760" w:type="dxa"/>
        <w:tblLook w:val="04A0" w:firstRow="1" w:lastRow="0" w:firstColumn="1" w:lastColumn="0" w:noHBand="0" w:noVBand="1"/>
      </w:tblPr>
      <w:tblGrid>
        <w:gridCol w:w="3960"/>
        <w:gridCol w:w="960"/>
        <w:gridCol w:w="960"/>
        <w:gridCol w:w="960"/>
        <w:gridCol w:w="960"/>
        <w:gridCol w:w="960"/>
      </w:tblGrid>
      <w:tr w:rsidR="001F1F42" w:rsidRPr="00F057FA" w14:paraId="39902894" w14:textId="77777777" w:rsidTr="001F1F42">
        <w:trPr>
          <w:trHeight w:val="290"/>
        </w:trPr>
        <w:tc>
          <w:tcPr>
            <w:tcW w:w="3960" w:type="dxa"/>
            <w:tcBorders>
              <w:top w:val="single" w:sz="4" w:space="0" w:color="auto"/>
              <w:left w:val="single" w:sz="4" w:space="0" w:color="auto"/>
              <w:bottom w:val="single" w:sz="4" w:space="0" w:color="auto"/>
              <w:right w:val="single" w:sz="4" w:space="0" w:color="auto"/>
            </w:tcBorders>
            <w:noWrap/>
            <w:vAlign w:val="bottom"/>
            <w:hideMark/>
          </w:tcPr>
          <w:bookmarkEnd w:id="18"/>
          <w:p w14:paraId="6C0C6FEB" w14:textId="77777777" w:rsidR="001F1F42" w:rsidRPr="00F057FA" w:rsidRDefault="001F1F42"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342E6DA7"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74316D11"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2732175E"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47B74418"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5CBC297B" w14:textId="77777777" w:rsidR="001F1F42" w:rsidRPr="00F057FA" w:rsidRDefault="001F1F42"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1F1F42" w:rsidRPr="00F057FA" w14:paraId="6FC5AE78"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6A7187E3"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2076EC4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40.44%</w:t>
            </w:r>
          </w:p>
        </w:tc>
        <w:tc>
          <w:tcPr>
            <w:tcW w:w="960" w:type="dxa"/>
            <w:tcBorders>
              <w:top w:val="nil"/>
              <w:left w:val="nil"/>
              <w:bottom w:val="single" w:sz="4" w:space="0" w:color="auto"/>
              <w:right w:val="single" w:sz="4" w:space="0" w:color="auto"/>
            </w:tcBorders>
            <w:noWrap/>
            <w:vAlign w:val="bottom"/>
            <w:hideMark/>
          </w:tcPr>
          <w:p w14:paraId="0D5421D7"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38.53%</w:t>
            </w:r>
          </w:p>
        </w:tc>
        <w:tc>
          <w:tcPr>
            <w:tcW w:w="960" w:type="dxa"/>
            <w:tcBorders>
              <w:top w:val="nil"/>
              <w:left w:val="nil"/>
              <w:bottom w:val="single" w:sz="4" w:space="0" w:color="auto"/>
              <w:right w:val="single" w:sz="4" w:space="0" w:color="auto"/>
            </w:tcBorders>
            <w:noWrap/>
            <w:vAlign w:val="bottom"/>
            <w:hideMark/>
          </w:tcPr>
          <w:p w14:paraId="6FA2DCBD"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33.72%</w:t>
            </w:r>
          </w:p>
        </w:tc>
        <w:tc>
          <w:tcPr>
            <w:tcW w:w="960" w:type="dxa"/>
            <w:tcBorders>
              <w:top w:val="nil"/>
              <w:left w:val="nil"/>
              <w:bottom w:val="single" w:sz="4" w:space="0" w:color="auto"/>
              <w:right w:val="single" w:sz="4" w:space="0" w:color="auto"/>
            </w:tcBorders>
            <w:noWrap/>
            <w:vAlign w:val="bottom"/>
            <w:hideMark/>
          </w:tcPr>
          <w:p w14:paraId="55FB423C"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34.68%</w:t>
            </w:r>
          </w:p>
        </w:tc>
        <w:tc>
          <w:tcPr>
            <w:tcW w:w="960" w:type="dxa"/>
            <w:tcBorders>
              <w:top w:val="nil"/>
              <w:left w:val="nil"/>
              <w:bottom w:val="single" w:sz="4" w:space="0" w:color="auto"/>
              <w:right w:val="single" w:sz="4" w:space="0" w:color="auto"/>
            </w:tcBorders>
            <w:noWrap/>
            <w:vAlign w:val="bottom"/>
            <w:hideMark/>
          </w:tcPr>
          <w:p w14:paraId="2328D024"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27.94%</w:t>
            </w:r>
          </w:p>
        </w:tc>
      </w:tr>
      <w:tr w:rsidR="001F1F42" w:rsidRPr="00F057FA" w14:paraId="7B6772F5"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0DC3370B"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152367C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31.72%</w:t>
            </w:r>
          </w:p>
        </w:tc>
        <w:tc>
          <w:tcPr>
            <w:tcW w:w="960" w:type="dxa"/>
            <w:tcBorders>
              <w:top w:val="nil"/>
              <w:left w:val="nil"/>
              <w:bottom w:val="single" w:sz="4" w:space="0" w:color="auto"/>
              <w:right w:val="single" w:sz="4" w:space="0" w:color="auto"/>
            </w:tcBorders>
            <w:noWrap/>
            <w:vAlign w:val="bottom"/>
            <w:hideMark/>
          </w:tcPr>
          <w:p w14:paraId="0A521644"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30.76%</w:t>
            </w:r>
          </w:p>
        </w:tc>
        <w:tc>
          <w:tcPr>
            <w:tcW w:w="960" w:type="dxa"/>
            <w:tcBorders>
              <w:top w:val="nil"/>
              <w:left w:val="nil"/>
              <w:bottom w:val="single" w:sz="4" w:space="0" w:color="auto"/>
              <w:right w:val="single" w:sz="4" w:space="0" w:color="auto"/>
            </w:tcBorders>
            <w:noWrap/>
            <w:vAlign w:val="bottom"/>
            <w:hideMark/>
          </w:tcPr>
          <w:p w14:paraId="0A2CECAC"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25.59%</w:t>
            </w:r>
          </w:p>
        </w:tc>
        <w:tc>
          <w:tcPr>
            <w:tcW w:w="960" w:type="dxa"/>
            <w:tcBorders>
              <w:top w:val="nil"/>
              <w:left w:val="nil"/>
              <w:bottom w:val="single" w:sz="4" w:space="0" w:color="auto"/>
              <w:right w:val="single" w:sz="4" w:space="0" w:color="auto"/>
            </w:tcBorders>
            <w:noWrap/>
            <w:vAlign w:val="bottom"/>
            <w:hideMark/>
          </w:tcPr>
          <w:p w14:paraId="78803E46"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23.35%</w:t>
            </w:r>
          </w:p>
        </w:tc>
        <w:tc>
          <w:tcPr>
            <w:tcW w:w="960" w:type="dxa"/>
            <w:tcBorders>
              <w:top w:val="nil"/>
              <w:left w:val="nil"/>
              <w:bottom w:val="single" w:sz="4" w:space="0" w:color="auto"/>
              <w:right w:val="single" w:sz="4" w:space="0" w:color="auto"/>
            </w:tcBorders>
            <w:noWrap/>
            <w:vAlign w:val="bottom"/>
            <w:hideMark/>
          </w:tcPr>
          <w:p w14:paraId="6AE201A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22.42%</w:t>
            </w:r>
          </w:p>
        </w:tc>
      </w:tr>
      <w:tr w:rsidR="001F1F42" w:rsidRPr="00F057FA" w14:paraId="4FAD2D8A"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4AB21FDB"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2E7D0254"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33.00%</w:t>
            </w:r>
          </w:p>
        </w:tc>
        <w:tc>
          <w:tcPr>
            <w:tcW w:w="960" w:type="dxa"/>
            <w:tcBorders>
              <w:top w:val="nil"/>
              <w:left w:val="nil"/>
              <w:bottom w:val="single" w:sz="4" w:space="0" w:color="auto"/>
              <w:right w:val="single" w:sz="4" w:space="0" w:color="auto"/>
            </w:tcBorders>
            <w:noWrap/>
            <w:vAlign w:val="bottom"/>
            <w:hideMark/>
          </w:tcPr>
          <w:p w14:paraId="0CCF2E54"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32.18%</w:t>
            </w:r>
          </w:p>
        </w:tc>
        <w:tc>
          <w:tcPr>
            <w:tcW w:w="960" w:type="dxa"/>
            <w:tcBorders>
              <w:top w:val="nil"/>
              <w:left w:val="nil"/>
              <w:bottom w:val="single" w:sz="4" w:space="0" w:color="auto"/>
              <w:right w:val="single" w:sz="4" w:space="0" w:color="auto"/>
            </w:tcBorders>
            <w:noWrap/>
            <w:vAlign w:val="bottom"/>
            <w:hideMark/>
          </w:tcPr>
          <w:p w14:paraId="03310FE1"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29.97%</w:t>
            </w:r>
          </w:p>
        </w:tc>
        <w:tc>
          <w:tcPr>
            <w:tcW w:w="960" w:type="dxa"/>
            <w:tcBorders>
              <w:top w:val="nil"/>
              <w:left w:val="nil"/>
              <w:bottom w:val="single" w:sz="4" w:space="0" w:color="auto"/>
              <w:right w:val="single" w:sz="4" w:space="0" w:color="auto"/>
            </w:tcBorders>
            <w:noWrap/>
            <w:vAlign w:val="bottom"/>
            <w:hideMark/>
          </w:tcPr>
          <w:p w14:paraId="0C3AE988"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28.55%</w:t>
            </w:r>
          </w:p>
        </w:tc>
        <w:tc>
          <w:tcPr>
            <w:tcW w:w="960" w:type="dxa"/>
            <w:tcBorders>
              <w:top w:val="nil"/>
              <w:left w:val="nil"/>
              <w:bottom w:val="single" w:sz="4" w:space="0" w:color="auto"/>
              <w:right w:val="single" w:sz="4" w:space="0" w:color="auto"/>
            </w:tcBorders>
            <w:noWrap/>
            <w:vAlign w:val="bottom"/>
            <w:hideMark/>
          </w:tcPr>
          <w:p w14:paraId="4B1DC22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26.85%</w:t>
            </w:r>
          </w:p>
        </w:tc>
      </w:tr>
      <w:tr w:rsidR="001F1F42" w:rsidRPr="00F057FA" w14:paraId="5252BB09"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41B8F594"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6FB1FE9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23.44%</w:t>
            </w:r>
          </w:p>
        </w:tc>
        <w:tc>
          <w:tcPr>
            <w:tcW w:w="960" w:type="dxa"/>
            <w:tcBorders>
              <w:top w:val="nil"/>
              <w:left w:val="nil"/>
              <w:bottom w:val="single" w:sz="4" w:space="0" w:color="auto"/>
              <w:right w:val="single" w:sz="4" w:space="0" w:color="auto"/>
            </w:tcBorders>
            <w:noWrap/>
            <w:vAlign w:val="bottom"/>
            <w:hideMark/>
          </w:tcPr>
          <w:p w14:paraId="1A7FC55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23.74%</w:t>
            </w:r>
          </w:p>
        </w:tc>
        <w:tc>
          <w:tcPr>
            <w:tcW w:w="960" w:type="dxa"/>
            <w:tcBorders>
              <w:top w:val="nil"/>
              <w:left w:val="nil"/>
              <w:bottom w:val="single" w:sz="4" w:space="0" w:color="auto"/>
              <w:right w:val="single" w:sz="4" w:space="0" w:color="auto"/>
            </w:tcBorders>
            <w:noWrap/>
            <w:vAlign w:val="bottom"/>
            <w:hideMark/>
          </w:tcPr>
          <w:p w14:paraId="32C1503A"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20.80%</w:t>
            </w:r>
          </w:p>
        </w:tc>
        <w:tc>
          <w:tcPr>
            <w:tcW w:w="960" w:type="dxa"/>
            <w:tcBorders>
              <w:top w:val="nil"/>
              <w:left w:val="nil"/>
              <w:bottom w:val="single" w:sz="4" w:space="0" w:color="auto"/>
              <w:right w:val="single" w:sz="4" w:space="0" w:color="auto"/>
            </w:tcBorders>
            <w:noWrap/>
            <w:vAlign w:val="bottom"/>
            <w:hideMark/>
          </w:tcPr>
          <w:p w14:paraId="3D2F8375"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19.46%</w:t>
            </w:r>
          </w:p>
        </w:tc>
        <w:tc>
          <w:tcPr>
            <w:tcW w:w="960" w:type="dxa"/>
            <w:tcBorders>
              <w:top w:val="nil"/>
              <w:left w:val="nil"/>
              <w:bottom w:val="single" w:sz="4" w:space="0" w:color="auto"/>
              <w:right w:val="single" w:sz="4" w:space="0" w:color="auto"/>
            </w:tcBorders>
            <w:noWrap/>
            <w:vAlign w:val="bottom"/>
            <w:hideMark/>
          </w:tcPr>
          <w:p w14:paraId="62D2F6CB"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18.87%</w:t>
            </w:r>
          </w:p>
        </w:tc>
      </w:tr>
      <w:tr w:rsidR="001F1F42" w:rsidRPr="00F057FA" w14:paraId="32602F84"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4ADE3AAF" w14:textId="77777777"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4A7E336D"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319</w:t>
            </w:r>
          </w:p>
        </w:tc>
        <w:tc>
          <w:tcPr>
            <w:tcW w:w="960" w:type="dxa"/>
            <w:tcBorders>
              <w:top w:val="nil"/>
              <w:left w:val="nil"/>
              <w:bottom w:val="single" w:sz="4" w:space="0" w:color="auto"/>
              <w:right w:val="single" w:sz="4" w:space="0" w:color="auto"/>
            </w:tcBorders>
            <w:noWrap/>
            <w:vAlign w:val="bottom"/>
            <w:hideMark/>
          </w:tcPr>
          <w:p w14:paraId="6687ACF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449</w:t>
            </w:r>
          </w:p>
        </w:tc>
        <w:tc>
          <w:tcPr>
            <w:tcW w:w="960" w:type="dxa"/>
            <w:tcBorders>
              <w:top w:val="nil"/>
              <w:left w:val="nil"/>
              <w:bottom w:val="single" w:sz="4" w:space="0" w:color="auto"/>
              <w:right w:val="single" w:sz="4" w:space="0" w:color="auto"/>
            </w:tcBorders>
            <w:noWrap/>
            <w:vAlign w:val="bottom"/>
            <w:hideMark/>
          </w:tcPr>
          <w:p w14:paraId="7E0488A7"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427</w:t>
            </w:r>
          </w:p>
        </w:tc>
        <w:tc>
          <w:tcPr>
            <w:tcW w:w="960" w:type="dxa"/>
            <w:tcBorders>
              <w:top w:val="nil"/>
              <w:left w:val="nil"/>
              <w:bottom w:val="single" w:sz="4" w:space="0" w:color="auto"/>
              <w:right w:val="single" w:sz="4" w:space="0" w:color="auto"/>
            </w:tcBorders>
            <w:noWrap/>
            <w:vAlign w:val="bottom"/>
            <w:hideMark/>
          </w:tcPr>
          <w:p w14:paraId="0EFB5C97"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372</w:t>
            </w:r>
          </w:p>
        </w:tc>
        <w:tc>
          <w:tcPr>
            <w:tcW w:w="960" w:type="dxa"/>
            <w:tcBorders>
              <w:top w:val="nil"/>
              <w:left w:val="nil"/>
              <w:bottom w:val="single" w:sz="4" w:space="0" w:color="auto"/>
              <w:right w:val="single" w:sz="4" w:space="0" w:color="auto"/>
            </w:tcBorders>
            <w:noWrap/>
            <w:vAlign w:val="bottom"/>
            <w:hideMark/>
          </w:tcPr>
          <w:p w14:paraId="5C1BD250"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451</w:t>
            </w:r>
          </w:p>
        </w:tc>
      </w:tr>
      <w:tr w:rsidR="001F1F42" w:rsidRPr="00F057FA" w14:paraId="456AE15C" w14:textId="77777777" w:rsidTr="001F1F42">
        <w:trPr>
          <w:trHeight w:val="290"/>
        </w:trPr>
        <w:tc>
          <w:tcPr>
            <w:tcW w:w="3960" w:type="dxa"/>
            <w:tcBorders>
              <w:top w:val="nil"/>
              <w:left w:val="single" w:sz="4" w:space="0" w:color="auto"/>
              <w:bottom w:val="single" w:sz="4" w:space="0" w:color="auto"/>
              <w:right w:val="single" w:sz="4" w:space="0" w:color="auto"/>
            </w:tcBorders>
            <w:noWrap/>
            <w:vAlign w:val="bottom"/>
            <w:hideMark/>
          </w:tcPr>
          <w:p w14:paraId="2F0B965F" w14:textId="434C4A3E" w:rsidR="001F1F42" w:rsidRPr="00F057FA" w:rsidRDefault="001F1F42"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6A9495EC"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826</w:t>
            </w:r>
          </w:p>
        </w:tc>
        <w:tc>
          <w:tcPr>
            <w:tcW w:w="960" w:type="dxa"/>
            <w:tcBorders>
              <w:top w:val="nil"/>
              <w:left w:val="nil"/>
              <w:bottom w:val="single" w:sz="4" w:space="0" w:color="auto"/>
              <w:right w:val="single" w:sz="4" w:space="0" w:color="auto"/>
            </w:tcBorders>
            <w:noWrap/>
            <w:vAlign w:val="bottom"/>
            <w:hideMark/>
          </w:tcPr>
          <w:p w14:paraId="61486FA6"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1076</w:t>
            </w:r>
          </w:p>
        </w:tc>
        <w:tc>
          <w:tcPr>
            <w:tcW w:w="960" w:type="dxa"/>
            <w:tcBorders>
              <w:top w:val="nil"/>
              <w:left w:val="nil"/>
              <w:bottom w:val="single" w:sz="4" w:space="0" w:color="auto"/>
              <w:right w:val="single" w:sz="4" w:space="0" w:color="auto"/>
            </w:tcBorders>
            <w:noWrap/>
            <w:vAlign w:val="bottom"/>
            <w:hideMark/>
          </w:tcPr>
          <w:p w14:paraId="32F0293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1184</w:t>
            </w:r>
          </w:p>
        </w:tc>
        <w:tc>
          <w:tcPr>
            <w:tcW w:w="960" w:type="dxa"/>
            <w:tcBorders>
              <w:top w:val="nil"/>
              <w:left w:val="nil"/>
              <w:bottom w:val="single" w:sz="4" w:space="0" w:color="auto"/>
              <w:right w:val="single" w:sz="4" w:space="0" w:color="auto"/>
            </w:tcBorders>
            <w:noWrap/>
            <w:vAlign w:val="bottom"/>
            <w:hideMark/>
          </w:tcPr>
          <w:p w14:paraId="426B059E"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848</w:t>
            </w:r>
          </w:p>
        </w:tc>
        <w:tc>
          <w:tcPr>
            <w:tcW w:w="960" w:type="dxa"/>
            <w:tcBorders>
              <w:top w:val="nil"/>
              <w:left w:val="nil"/>
              <w:bottom w:val="single" w:sz="4" w:space="0" w:color="auto"/>
              <w:right w:val="single" w:sz="4" w:space="0" w:color="auto"/>
            </w:tcBorders>
            <w:noWrap/>
            <w:vAlign w:val="bottom"/>
            <w:hideMark/>
          </w:tcPr>
          <w:p w14:paraId="1EC34CED" w14:textId="77777777" w:rsidR="001F1F42" w:rsidRPr="00F057FA" w:rsidRDefault="001F1F42"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1008</w:t>
            </w:r>
          </w:p>
        </w:tc>
      </w:tr>
    </w:tbl>
    <w:p w14:paraId="76EEA3B4" w14:textId="77777777" w:rsidR="001F1F42" w:rsidRPr="00F057FA" w:rsidRDefault="001F1F42" w:rsidP="00F057FA">
      <w:pPr>
        <w:spacing w:after="0" w:line="240" w:lineRule="auto"/>
        <w:rPr>
          <w:rFonts w:ascii="Aptos" w:hAnsi="Aptos"/>
        </w:rPr>
      </w:pPr>
    </w:p>
    <w:p w14:paraId="373E9F2F" w14:textId="77777777" w:rsidR="008519B6" w:rsidRPr="00F057FA" w:rsidRDefault="008519B6" w:rsidP="00F057FA">
      <w:pPr>
        <w:pStyle w:val="Heading1"/>
        <w:spacing w:before="0" w:after="0" w:line="240" w:lineRule="auto"/>
        <w:rPr>
          <w:rFonts w:ascii="Aptos" w:hAnsi="Aptos"/>
        </w:rPr>
      </w:pPr>
      <w:bookmarkStart w:id="19" w:name="_Toc198627467"/>
      <w:r w:rsidRPr="00F057FA">
        <w:rPr>
          <w:rFonts w:ascii="Aptos" w:hAnsi="Aptos"/>
        </w:rPr>
        <w:t>Metric 7 - Percentage of staff satisfied with the extent to which their organisation values their work.</w:t>
      </w:r>
      <w:bookmarkEnd w:id="19"/>
    </w:p>
    <w:p w14:paraId="5938892E" w14:textId="77777777" w:rsidR="00D3773D" w:rsidRDefault="008519B6" w:rsidP="00F057FA">
      <w:pPr>
        <w:spacing w:after="0" w:line="240" w:lineRule="auto"/>
        <w:rPr>
          <w:rFonts w:ascii="Aptos" w:hAnsi="Aptos" w:cs="Arial"/>
        </w:rPr>
      </w:pPr>
      <w:r w:rsidRPr="00F057FA">
        <w:rPr>
          <w:rFonts w:ascii="Aptos" w:hAnsi="Aptos" w:cs="Arial"/>
        </w:rPr>
        <w:t>33.</w:t>
      </w:r>
      <w:r w:rsidR="00D3773D" w:rsidRPr="00F057FA">
        <w:rPr>
          <w:rFonts w:ascii="Aptos" w:hAnsi="Aptos" w:cs="Arial"/>
        </w:rPr>
        <w:t>64</w:t>
      </w:r>
      <w:r w:rsidRPr="00F057FA">
        <w:rPr>
          <w:rFonts w:ascii="Aptos" w:hAnsi="Aptos" w:cs="Arial"/>
        </w:rPr>
        <w:t xml:space="preserve">% of staff with a long-term condition or illness feel valued by the organisation, </w:t>
      </w:r>
      <w:r w:rsidR="00D3773D" w:rsidRPr="00F057FA">
        <w:rPr>
          <w:rFonts w:ascii="Aptos" w:hAnsi="Aptos" w:cs="Arial"/>
        </w:rPr>
        <w:t xml:space="preserve">a decline from the previous reporting year, which was 36% This indicator has improved for </w:t>
      </w:r>
      <w:r w:rsidR="00D3773D" w:rsidRPr="00F057FA">
        <w:rPr>
          <w:rFonts w:ascii="Aptos" w:hAnsi="Aptos" w:cs="Arial"/>
        </w:rPr>
        <w:lastRenderedPageBreak/>
        <w:t xml:space="preserve">staff without a long-term condition or disability in 2024 up from 44.79 % in 2023 to 46.30 % in 2024, </w:t>
      </w:r>
      <w:r w:rsidRPr="00F057FA">
        <w:rPr>
          <w:rFonts w:ascii="Aptos" w:hAnsi="Aptos" w:cs="Arial"/>
        </w:rPr>
        <w:t>of staff without a long-term condition or illness</w:t>
      </w:r>
      <w:r w:rsidR="00D3773D" w:rsidRPr="00F057FA">
        <w:rPr>
          <w:rFonts w:ascii="Aptos" w:hAnsi="Aptos" w:cs="Arial"/>
        </w:rPr>
        <w:t>.</w:t>
      </w:r>
    </w:p>
    <w:p w14:paraId="47EA8279" w14:textId="77777777" w:rsidR="003121DF" w:rsidRDefault="003121DF" w:rsidP="00F057FA">
      <w:pPr>
        <w:spacing w:after="0" w:line="240" w:lineRule="auto"/>
        <w:rPr>
          <w:rFonts w:ascii="Aptos" w:hAnsi="Aptos" w:cs="Arial"/>
        </w:rPr>
      </w:pPr>
    </w:p>
    <w:p w14:paraId="66F96E82" w14:textId="223E5B85" w:rsidR="004A311D" w:rsidRPr="00F057FA" w:rsidRDefault="004A311D" w:rsidP="00F057FA">
      <w:pPr>
        <w:spacing w:after="0" w:line="240" w:lineRule="auto"/>
        <w:rPr>
          <w:rFonts w:ascii="Aptos" w:hAnsi="Aptos" w:cs="Arial"/>
        </w:rPr>
      </w:pPr>
      <w:r>
        <w:rPr>
          <w:rFonts w:ascii="Aptos" w:hAnsi="Aptos" w:cs="Arial"/>
        </w:rPr>
        <w:t>Table 7: Workforce Disability Equality Data for Metric 7 from 2020 to 2024</w:t>
      </w:r>
    </w:p>
    <w:p w14:paraId="23031FD8" w14:textId="7AE08777" w:rsidR="008519B6" w:rsidRPr="00F057FA" w:rsidRDefault="00D3773D" w:rsidP="00F057FA">
      <w:pPr>
        <w:spacing w:after="0" w:line="240" w:lineRule="auto"/>
        <w:rPr>
          <w:rFonts w:ascii="Aptos" w:hAnsi="Aptos"/>
        </w:rPr>
      </w:pPr>
      <w:r w:rsidRPr="00F057FA">
        <w:rPr>
          <w:rFonts w:ascii="Aptos" w:hAnsi="Aptos"/>
          <w:noProof/>
        </w:rPr>
        <w:drawing>
          <wp:inline distT="0" distB="0" distL="0" distR="0" wp14:anchorId="08AC8E1B" wp14:editId="0EF47C2A">
            <wp:extent cx="5731510" cy="2069465"/>
            <wp:effectExtent l="0" t="0" r="2540" b="6985"/>
            <wp:docPr id="605337652" name="Picture 1" descr="33.64% of staff with a long-term condition or illness feel valued by the organisation, a decline from the previous reporting year, which was 36% This indicator has improved for staff without a long-term condition or disability in 2024 up from 44.79 % in 2023 to 46.30 % in 2024, of staff without a long-term condition or illness.">
              <a:extLst xmlns:a="http://schemas.openxmlformats.org/drawingml/2006/main">
                <a:ext uri="{FF2B5EF4-FFF2-40B4-BE49-F238E27FC236}">
                  <a16:creationId xmlns:a16="http://schemas.microsoft.com/office/drawing/2014/main" id="{8FC532B9-3D49-B83B-9E1A-3B38179E2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37652" name="Picture 1" descr="33.64% of staff with a long-term condition or illness feel valued by the organisation, a decline from the previous reporting year, which was 36% This indicator has improved for staff without a long-term condition or disability in 2024 up from 44.79 % in 2023 to 46.30 % in 2024, of staff without a long-term condition or illness.">
                      <a:extLst>
                        <a:ext uri="{FF2B5EF4-FFF2-40B4-BE49-F238E27FC236}">
                          <a16:creationId xmlns:a16="http://schemas.microsoft.com/office/drawing/2014/main" id="{8FC532B9-3D49-B83B-9E1A-3B38179E2C9F}"/>
                        </a:ext>
                      </a:extLst>
                    </pic:cNvPr>
                    <pic:cNvPicPr>
                      <a:picLocks noChangeAspect="1"/>
                    </pic:cNvPicPr>
                  </pic:nvPicPr>
                  <pic:blipFill>
                    <a:blip r:embed="rId20"/>
                    <a:stretch>
                      <a:fillRect/>
                    </a:stretch>
                  </pic:blipFill>
                  <pic:spPr>
                    <a:xfrm>
                      <a:off x="0" y="0"/>
                      <a:ext cx="5731510" cy="2069465"/>
                    </a:xfrm>
                    <a:prstGeom prst="rect">
                      <a:avLst/>
                    </a:prstGeom>
                  </pic:spPr>
                </pic:pic>
              </a:graphicData>
            </a:graphic>
          </wp:inline>
        </w:drawing>
      </w:r>
      <w:r w:rsidR="008519B6" w:rsidRPr="00F057FA">
        <w:rPr>
          <w:rFonts w:ascii="Aptos" w:hAnsi="Aptos"/>
        </w:rPr>
        <w:br/>
      </w:r>
    </w:p>
    <w:p w14:paraId="4AA8062F" w14:textId="358BAC33" w:rsidR="008519B6" w:rsidRPr="00F057FA" w:rsidRDefault="004A311D" w:rsidP="00F057FA">
      <w:pPr>
        <w:spacing w:after="0" w:line="240" w:lineRule="auto"/>
        <w:rPr>
          <w:rFonts w:ascii="Aptos" w:hAnsi="Aptos"/>
        </w:rPr>
      </w:pPr>
      <w:r>
        <w:rPr>
          <w:rFonts w:ascii="Aptos" w:hAnsi="Aptos"/>
        </w:rPr>
        <w:t>]</w:t>
      </w:r>
      <w:r w:rsidR="008519B6" w:rsidRPr="00F057FA">
        <w:rPr>
          <w:rFonts w:ascii="Aptos" w:hAnsi="Aptos"/>
        </w:rPr>
        <w:t>.</w:t>
      </w:r>
    </w:p>
    <w:tbl>
      <w:tblPr>
        <w:tblW w:w="9016" w:type="dxa"/>
        <w:tblLook w:val="04A0" w:firstRow="1" w:lastRow="0" w:firstColumn="1" w:lastColumn="0" w:noHBand="0" w:noVBand="1"/>
      </w:tblPr>
      <w:tblGrid>
        <w:gridCol w:w="3820"/>
        <w:gridCol w:w="960"/>
        <w:gridCol w:w="960"/>
        <w:gridCol w:w="960"/>
        <w:gridCol w:w="960"/>
        <w:gridCol w:w="396"/>
        <w:gridCol w:w="960"/>
      </w:tblGrid>
      <w:tr w:rsidR="004A311D" w:rsidRPr="00F057FA" w14:paraId="29A0AACF" w14:textId="77777777" w:rsidTr="003121DF">
        <w:trPr>
          <w:trHeight w:val="290"/>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79DB356B" w14:textId="77777777" w:rsidR="004A311D" w:rsidRPr="00F057FA" w:rsidRDefault="004A311D"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699D5636" w14:textId="77777777"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540137B3" w14:textId="77777777"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4DC29EF3" w14:textId="77777777"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3E58B0B6" w14:textId="77777777"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396" w:type="dxa"/>
            <w:tcBorders>
              <w:top w:val="single" w:sz="4" w:space="0" w:color="auto"/>
              <w:left w:val="nil"/>
              <w:bottom w:val="single" w:sz="4" w:space="0" w:color="auto"/>
              <w:right w:val="nil"/>
            </w:tcBorders>
          </w:tcPr>
          <w:p w14:paraId="5B08725A" w14:textId="77777777"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p>
        </w:tc>
        <w:tc>
          <w:tcPr>
            <w:tcW w:w="960" w:type="dxa"/>
            <w:tcBorders>
              <w:top w:val="single" w:sz="4" w:space="0" w:color="auto"/>
              <w:left w:val="nil"/>
              <w:bottom w:val="single" w:sz="4" w:space="0" w:color="auto"/>
              <w:right w:val="single" w:sz="4" w:space="0" w:color="auto"/>
            </w:tcBorders>
            <w:noWrap/>
            <w:vAlign w:val="bottom"/>
            <w:hideMark/>
          </w:tcPr>
          <w:p w14:paraId="6B800730" w14:textId="454AA0D2" w:rsidR="004A311D" w:rsidRPr="00F057FA" w:rsidRDefault="004A311D"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4A311D" w:rsidRPr="00F057FA" w14:paraId="26D83F51"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13C5901C"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1D362B89"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31.00%</w:t>
            </w:r>
          </w:p>
        </w:tc>
        <w:tc>
          <w:tcPr>
            <w:tcW w:w="960" w:type="dxa"/>
            <w:tcBorders>
              <w:top w:val="nil"/>
              <w:left w:val="nil"/>
              <w:bottom w:val="single" w:sz="4" w:space="0" w:color="auto"/>
              <w:right w:val="single" w:sz="4" w:space="0" w:color="auto"/>
            </w:tcBorders>
            <w:noWrap/>
            <w:vAlign w:val="bottom"/>
            <w:hideMark/>
          </w:tcPr>
          <w:p w14:paraId="4230E470"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31.11%</w:t>
            </w:r>
          </w:p>
        </w:tc>
        <w:tc>
          <w:tcPr>
            <w:tcW w:w="960" w:type="dxa"/>
            <w:tcBorders>
              <w:top w:val="nil"/>
              <w:left w:val="nil"/>
              <w:bottom w:val="single" w:sz="4" w:space="0" w:color="auto"/>
              <w:right w:val="single" w:sz="4" w:space="0" w:color="auto"/>
            </w:tcBorders>
            <w:noWrap/>
            <w:vAlign w:val="bottom"/>
            <w:hideMark/>
          </w:tcPr>
          <w:p w14:paraId="68B862F8"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30.56%</w:t>
            </w:r>
          </w:p>
        </w:tc>
        <w:tc>
          <w:tcPr>
            <w:tcW w:w="960" w:type="dxa"/>
            <w:tcBorders>
              <w:top w:val="nil"/>
              <w:left w:val="nil"/>
              <w:bottom w:val="single" w:sz="4" w:space="0" w:color="auto"/>
              <w:right w:val="single" w:sz="4" w:space="0" w:color="auto"/>
            </w:tcBorders>
            <w:noWrap/>
            <w:vAlign w:val="bottom"/>
            <w:hideMark/>
          </w:tcPr>
          <w:p w14:paraId="04B9AC79"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36.49%</w:t>
            </w:r>
          </w:p>
        </w:tc>
        <w:tc>
          <w:tcPr>
            <w:tcW w:w="396" w:type="dxa"/>
            <w:tcBorders>
              <w:top w:val="nil"/>
              <w:left w:val="nil"/>
              <w:bottom w:val="single" w:sz="4" w:space="0" w:color="auto"/>
              <w:right w:val="nil"/>
            </w:tcBorders>
          </w:tcPr>
          <w:p w14:paraId="222AC375"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621A5268" w14:textId="6E17CD45"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33.65%</w:t>
            </w:r>
          </w:p>
        </w:tc>
      </w:tr>
      <w:tr w:rsidR="004A311D" w:rsidRPr="00F057FA" w14:paraId="40E2B87F"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5101D09B"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4DAC9D67"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47.89%</w:t>
            </w:r>
          </w:p>
        </w:tc>
        <w:tc>
          <w:tcPr>
            <w:tcW w:w="960" w:type="dxa"/>
            <w:tcBorders>
              <w:top w:val="nil"/>
              <w:left w:val="nil"/>
              <w:bottom w:val="single" w:sz="4" w:space="0" w:color="auto"/>
              <w:right w:val="single" w:sz="4" w:space="0" w:color="auto"/>
            </w:tcBorders>
            <w:noWrap/>
            <w:vAlign w:val="bottom"/>
            <w:hideMark/>
          </w:tcPr>
          <w:p w14:paraId="721F631D"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40.21%</w:t>
            </w:r>
          </w:p>
        </w:tc>
        <w:tc>
          <w:tcPr>
            <w:tcW w:w="960" w:type="dxa"/>
            <w:tcBorders>
              <w:top w:val="nil"/>
              <w:left w:val="nil"/>
              <w:bottom w:val="single" w:sz="4" w:space="0" w:color="auto"/>
              <w:right w:val="single" w:sz="4" w:space="0" w:color="auto"/>
            </w:tcBorders>
            <w:noWrap/>
            <w:vAlign w:val="bottom"/>
            <w:hideMark/>
          </w:tcPr>
          <w:p w14:paraId="392A428D"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38.84%</w:t>
            </w:r>
          </w:p>
        </w:tc>
        <w:tc>
          <w:tcPr>
            <w:tcW w:w="960" w:type="dxa"/>
            <w:tcBorders>
              <w:top w:val="nil"/>
              <w:left w:val="nil"/>
              <w:bottom w:val="single" w:sz="4" w:space="0" w:color="auto"/>
              <w:right w:val="single" w:sz="4" w:space="0" w:color="auto"/>
            </w:tcBorders>
            <w:noWrap/>
            <w:vAlign w:val="bottom"/>
            <w:hideMark/>
          </w:tcPr>
          <w:p w14:paraId="2547EE2C"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44.79%</w:t>
            </w:r>
          </w:p>
        </w:tc>
        <w:tc>
          <w:tcPr>
            <w:tcW w:w="396" w:type="dxa"/>
            <w:tcBorders>
              <w:top w:val="nil"/>
              <w:left w:val="nil"/>
              <w:bottom w:val="single" w:sz="4" w:space="0" w:color="auto"/>
              <w:right w:val="nil"/>
            </w:tcBorders>
          </w:tcPr>
          <w:p w14:paraId="58A748BF"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5388C462" w14:textId="5D992EDA"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46.70%</w:t>
            </w:r>
          </w:p>
        </w:tc>
      </w:tr>
      <w:tr w:rsidR="004A311D" w:rsidRPr="00F057FA" w14:paraId="1C7501C1"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54CCB242"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4BDF6AD0"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37.36%</w:t>
            </w:r>
          </w:p>
        </w:tc>
        <w:tc>
          <w:tcPr>
            <w:tcW w:w="960" w:type="dxa"/>
            <w:tcBorders>
              <w:top w:val="nil"/>
              <w:left w:val="nil"/>
              <w:bottom w:val="single" w:sz="4" w:space="0" w:color="auto"/>
              <w:right w:val="single" w:sz="4" w:space="0" w:color="auto"/>
            </w:tcBorders>
            <w:noWrap/>
            <w:vAlign w:val="bottom"/>
            <w:hideMark/>
          </w:tcPr>
          <w:p w14:paraId="5511896C"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32.62%</w:t>
            </w:r>
          </w:p>
        </w:tc>
        <w:tc>
          <w:tcPr>
            <w:tcW w:w="960" w:type="dxa"/>
            <w:tcBorders>
              <w:top w:val="nil"/>
              <w:left w:val="nil"/>
              <w:bottom w:val="single" w:sz="4" w:space="0" w:color="auto"/>
              <w:right w:val="single" w:sz="4" w:space="0" w:color="auto"/>
            </w:tcBorders>
            <w:noWrap/>
            <w:vAlign w:val="bottom"/>
            <w:hideMark/>
          </w:tcPr>
          <w:p w14:paraId="1CD1E89A"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32.46%</w:t>
            </w:r>
          </w:p>
        </w:tc>
        <w:tc>
          <w:tcPr>
            <w:tcW w:w="960" w:type="dxa"/>
            <w:tcBorders>
              <w:top w:val="nil"/>
              <w:left w:val="nil"/>
              <w:bottom w:val="single" w:sz="4" w:space="0" w:color="auto"/>
              <w:right w:val="single" w:sz="4" w:space="0" w:color="auto"/>
            </w:tcBorders>
            <w:noWrap/>
            <w:vAlign w:val="bottom"/>
            <w:hideMark/>
          </w:tcPr>
          <w:p w14:paraId="3BD512CB"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35.66%</w:t>
            </w:r>
          </w:p>
        </w:tc>
        <w:tc>
          <w:tcPr>
            <w:tcW w:w="396" w:type="dxa"/>
            <w:tcBorders>
              <w:top w:val="nil"/>
              <w:left w:val="nil"/>
              <w:bottom w:val="single" w:sz="4" w:space="0" w:color="auto"/>
              <w:right w:val="nil"/>
            </w:tcBorders>
          </w:tcPr>
          <w:p w14:paraId="74C43DEE"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783ECE15" w14:textId="249EA24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34.73%</w:t>
            </w:r>
          </w:p>
        </w:tc>
      </w:tr>
      <w:tr w:rsidR="004A311D" w:rsidRPr="00F057FA" w14:paraId="70BF6E1C"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4FD101FC"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2045F538"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49.27%</w:t>
            </w:r>
          </w:p>
        </w:tc>
        <w:tc>
          <w:tcPr>
            <w:tcW w:w="960" w:type="dxa"/>
            <w:tcBorders>
              <w:top w:val="nil"/>
              <w:left w:val="nil"/>
              <w:bottom w:val="single" w:sz="4" w:space="0" w:color="auto"/>
              <w:right w:val="single" w:sz="4" w:space="0" w:color="auto"/>
            </w:tcBorders>
            <w:noWrap/>
            <w:vAlign w:val="bottom"/>
            <w:hideMark/>
          </w:tcPr>
          <w:p w14:paraId="36DD2290"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43.30%</w:t>
            </w:r>
          </w:p>
        </w:tc>
        <w:tc>
          <w:tcPr>
            <w:tcW w:w="960" w:type="dxa"/>
            <w:tcBorders>
              <w:top w:val="nil"/>
              <w:left w:val="nil"/>
              <w:bottom w:val="single" w:sz="4" w:space="0" w:color="auto"/>
              <w:right w:val="single" w:sz="4" w:space="0" w:color="auto"/>
            </w:tcBorders>
            <w:noWrap/>
            <w:vAlign w:val="bottom"/>
            <w:hideMark/>
          </w:tcPr>
          <w:p w14:paraId="5C83B126"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43.56%</w:t>
            </w:r>
          </w:p>
        </w:tc>
        <w:tc>
          <w:tcPr>
            <w:tcW w:w="960" w:type="dxa"/>
            <w:tcBorders>
              <w:top w:val="nil"/>
              <w:left w:val="nil"/>
              <w:bottom w:val="single" w:sz="4" w:space="0" w:color="auto"/>
              <w:right w:val="single" w:sz="4" w:space="0" w:color="auto"/>
            </w:tcBorders>
            <w:noWrap/>
            <w:vAlign w:val="bottom"/>
            <w:hideMark/>
          </w:tcPr>
          <w:p w14:paraId="432FD98B"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47.19%</w:t>
            </w:r>
          </w:p>
        </w:tc>
        <w:tc>
          <w:tcPr>
            <w:tcW w:w="396" w:type="dxa"/>
            <w:tcBorders>
              <w:top w:val="nil"/>
              <w:left w:val="nil"/>
              <w:bottom w:val="single" w:sz="4" w:space="0" w:color="auto"/>
              <w:right w:val="nil"/>
            </w:tcBorders>
          </w:tcPr>
          <w:p w14:paraId="443614A6"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1DB98210" w14:textId="2788BFE2"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46.98%</w:t>
            </w:r>
          </w:p>
        </w:tc>
      </w:tr>
      <w:tr w:rsidR="004A311D" w:rsidRPr="00F057FA" w14:paraId="21E28251"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7AF02141"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6938A8D5"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442</w:t>
            </w:r>
          </w:p>
        </w:tc>
        <w:tc>
          <w:tcPr>
            <w:tcW w:w="960" w:type="dxa"/>
            <w:tcBorders>
              <w:top w:val="nil"/>
              <w:left w:val="nil"/>
              <w:bottom w:val="single" w:sz="4" w:space="0" w:color="auto"/>
              <w:right w:val="single" w:sz="4" w:space="0" w:color="auto"/>
            </w:tcBorders>
            <w:noWrap/>
            <w:vAlign w:val="bottom"/>
            <w:hideMark/>
          </w:tcPr>
          <w:p w14:paraId="3DB1D4B6"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569</w:t>
            </w:r>
          </w:p>
        </w:tc>
        <w:tc>
          <w:tcPr>
            <w:tcW w:w="960" w:type="dxa"/>
            <w:tcBorders>
              <w:top w:val="nil"/>
              <w:left w:val="nil"/>
              <w:bottom w:val="single" w:sz="4" w:space="0" w:color="auto"/>
              <w:right w:val="single" w:sz="4" w:space="0" w:color="auto"/>
            </w:tcBorders>
            <w:noWrap/>
            <w:vAlign w:val="bottom"/>
            <w:hideMark/>
          </w:tcPr>
          <w:p w14:paraId="6A3A2215"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553</w:t>
            </w:r>
          </w:p>
        </w:tc>
        <w:tc>
          <w:tcPr>
            <w:tcW w:w="960" w:type="dxa"/>
            <w:tcBorders>
              <w:top w:val="nil"/>
              <w:left w:val="nil"/>
              <w:bottom w:val="single" w:sz="4" w:space="0" w:color="auto"/>
              <w:right w:val="single" w:sz="4" w:space="0" w:color="auto"/>
            </w:tcBorders>
            <w:noWrap/>
            <w:vAlign w:val="bottom"/>
            <w:hideMark/>
          </w:tcPr>
          <w:p w14:paraId="533A62E8"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518</w:t>
            </w:r>
          </w:p>
        </w:tc>
        <w:tc>
          <w:tcPr>
            <w:tcW w:w="396" w:type="dxa"/>
            <w:tcBorders>
              <w:top w:val="nil"/>
              <w:left w:val="nil"/>
              <w:bottom w:val="single" w:sz="4" w:space="0" w:color="auto"/>
              <w:right w:val="nil"/>
            </w:tcBorders>
          </w:tcPr>
          <w:p w14:paraId="75E7E247"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01F151FA" w14:textId="69C2EC15"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639</w:t>
            </w:r>
          </w:p>
        </w:tc>
      </w:tr>
      <w:tr w:rsidR="004A311D" w:rsidRPr="00F057FA" w14:paraId="1D0074A7" w14:textId="77777777" w:rsidTr="003121DF">
        <w:trPr>
          <w:trHeight w:val="290"/>
        </w:trPr>
        <w:tc>
          <w:tcPr>
            <w:tcW w:w="3820" w:type="dxa"/>
            <w:tcBorders>
              <w:top w:val="nil"/>
              <w:left w:val="single" w:sz="4" w:space="0" w:color="auto"/>
              <w:bottom w:val="single" w:sz="4" w:space="0" w:color="auto"/>
              <w:right w:val="single" w:sz="4" w:space="0" w:color="auto"/>
            </w:tcBorders>
            <w:noWrap/>
            <w:vAlign w:val="bottom"/>
            <w:hideMark/>
          </w:tcPr>
          <w:p w14:paraId="09AE3480" w14:textId="77777777" w:rsidR="004A311D" w:rsidRPr="00F057FA" w:rsidRDefault="004A311D"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7B20B929"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1892</w:t>
            </w:r>
          </w:p>
        </w:tc>
        <w:tc>
          <w:tcPr>
            <w:tcW w:w="960" w:type="dxa"/>
            <w:tcBorders>
              <w:top w:val="nil"/>
              <w:left w:val="nil"/>
              <w:bottom w:val="single" w:sz="4" w:space="0" w:color="auto"/>
              <w:right w:val="single" w:sz="4" w:space="0" w:color="auto"/>
            </w:tcBorders>
            <w:noWrap/>
            <w:vAlign w:val="bottom"/>
            <w:hideMark/>
          </w:tcPr>
          <w:p w14:paraId="316C4F9C"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1972</w:t>
            </w:r>
          </w:p>
        </w:tc>
        <w:tc>
          <w:tcPr>
            <w:tcW w:w="960" w:type="dxa"/>
            <w:tcBorders>
              <w:top w:val="nil"/>
              <w:left w:val="nil"/>
              <w:bottom w:val="single" w:sz="4" w:space="0" w:color="auto"/>
              <w:right w:val="single" w:sz="4" w:space="0" w:color="auto"/>
            </w:tcBorders>
            <w:noWrap/>
            <w:vAlign w:val="bottom"/>
            <w:hideMark/>
          </w:tcPr>
          <w:p w14:paraId="2336D4F0"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2052</w:t>
            </w:r>
          </w:p>
        </w:tc>
        <w:tc>
          <w:tcPr>
            <w:tcW w:w="960" w:type="dxa"/>
            <w:tcBorders>
              <w:top w:val="nil"/>
              <w:left w:val="nil"/>
              <w:bottom w:val="single" w:sz="4" w:space="0" w:color="auto"/>
              <w:right w:val="single" w:sz="4" w:space="0" w:color="auto"/>
            </w:tcBorders>
            <w:noWrap/>
            <w:vAlign w:val="bottom"/>
            <w:hideMark/>
          </w:tcPr>
          <w:p w14:paraId="0993B6AF"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1708</w:t>
            </w:r>
          </w:p>
        </w:tc>
        <w:tc>
          <w:tcPr>
            <w:tcW w:w="396" w:type="dxa"/>
            <w:tcBorders>
              <w:top w:val="nil"/>
              <w:left w:val="nil"/>
              <w:bottom w:val="single" w:sz="4" w:space="0" w:color="auto"/>
              <w:right w:val="nil"/>
            </w:tcBorders>
          </w:tcPr>
          <w:p w14:paraId="57309974" w14:textId="77777777"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single" w:sz="4" w:space="0" w:color="auto"/>
              <w:right w:val="single" w:sz="4" w:space="0" w:color="auto"/>
            </w:tcBorders>
            <w:noWrap/>
            <w:vAlign w:val="bottom"/>
            <w:hideMark/>
          </w:tcPr>
          <w:p w14:paraId="02D41399" w14:textId="5BE0B946" w:rsidR="004A311D" w:rsidRPr="00F057FA" w:rsidRDefault="004A311D"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2043</w:t>
            </w:r>
          </w:p>
        </w:tc>
      </w:tr>
    </w:tbl>
    <w:p w14:paraId="5624717D" w14:textId="77777777" w:rsidR="008519B6" w:rsidRPr="00F057FA" w:rsidRDefault="008519B6" w:rsidP="00F057FA">
      <w:pPr>
        <w:spacing w:after="0" w:line="240" w:lineRule="auto"/>
        <w:rPr>
          <w:rFonts w:ascii="Aptos" w:hAnsi="Aptos"/>
        </w:rPr>
      </w:pPr>
    </w:p>
    <w:p w14:paraId="4F22A52C" w14:textId="77777777" w:rsidR="008519B6" w:rsidRPr="00F057FA" w:rsidRDefault="008519B6" w:rsidP="00F057FA">
      <w:pPr>
        <w:pStyle w:val="Heading1"/>
        <w:spacing w:before="0" w:after="0" w:line="240" w:lineRule="auto"/>
        <w:rPr>
          <w:rFonts w:ascii="Aptos" w:hAnsi="Aptos"/>
        </w:rPr>
      </w:pPr>
      <w:bookmarkStart w:id="20" w:name="_Toc198627468"/>
      <w:r w:rsidRPr="00F057FA">
        <w:rPr>
          <w:rFonts w:ascii="Aptos" w:hAnsi="Aptos"/>
        </w:rPr>
        <w:t>Metric 8 - Percentage of staff with a long-lasting health condition or illness saying their employer has made reasonable adjustments to enable them to carry out work.</w:t>
      </w:r>
      <w:bookmarkEnd w:id="20"/>
    </w:p>
    <w:p w14:paraId="5A825306" w14:textId="77777777" w:rsidR="00F825A7" w:rsidRPr="00F057FA" w:rsidRDefault="008519B6" w:rsidP="00F057FA">
      <w:pPr>
        <w:spacing w:after="0" w:line="240" w:lineRule="auto"/>
        <w:rPr>
          <w:rFonts w:ascii="Aptos" w:hAnsi="Aptos" w:cs="Arial"/>
        </w:rPr>
      </w:pPr>
      <w:r w:rsidRPr="00F057FA">
        <w:rPr>
          <w:rFonts w:ascii="Aptos" w:hAnsi="Aptos" w:cs="Arial"/>
        </w:rPr>
        <w:t xml:space="preserve">The percentage of staff with a long-term condition or illness reporting that their employer has made reasonable adjustments to support them in their work has </w:t>
      </w:r>
      <w:r w:rsidR="00D3773D" w:rsidRPr="00F057FA">
        <w:rPr>
          <w:rFonts w:ascii="Aptos" w:hAnsi="Aptos" w:cs="Arial"/>
        </w:rPr>
        <w:t>improved from 68.94%  to 71.94%</w:t>
      </w:r>
      <w:r w:rsidRPr="00F057FA">
        <w:rPr>
          <w:rFonts w:ascii="Aptos" w:hAnsi="Aptos" w:cs="Arial"/>
        </w:rPr>
        <w:t xml:space="preserve">. </w:t>
      </w:r>
      <w:r w:rsidR="00EB4F17" w:rsidRPr="00F057FA">
        <w:rPr>
          <w:rFonts w:ascii="Aptos" w:hAnsi="Aptos" w:cs="Arial"/>
        </w:rPr>
        <w:t>This represents a 2% percentage point improvement since the previous reporting year.</w:t>
      </w:r>
      <w:r w:rsidRPr="00F057FA">
        <w:rPr>
          <w:rFonts w:ascii="Aptos" w:hAnsi="Aptos" w:cs="Arial"/>
        </w:rPr>
        <w:br/>
      </w:r>
      <w:bookmarkStart w:id="21" w:name="_Hlk195607749"/>
    </w:p>
    <w:p w14:paraId="15635457" w14:textId="653FC556" w:rsidR="008519B6" w:rsidRPr="00F057FA" w:rsidRDefault="008519B6" w:rsidP="00F057FA">
      <w:pPr>
        <w:spacing w:after="0" w:line="240" w:lineRule="auto"/>
        <w:rPr>
          <w:rFonts w:ascii="Aptos" w:hAnsi="Aptos" w:cs="Arial"/>
        </w:rPr>
      </w:pPr>
      <w:r w:rsidRPr="00F057FA">
        <w:rPr>
          <w:rFonts w:ascii="Aptos" w:hAnsi="Aptos"/>
        </w:rPr>
        <w:t>Table 8: Workforce Disability Equality Data for Metric 8 from 2020 to 2024.</w:t>
      </w:r>
    </w:p>
    <w:bookmarkEnd w:id="21"/>
    <w:p w14:paraId="7A925312" w14:textId="22978930" w:rsidR="008519B6" w:rsidRPr="00F057FA" w:rsidRDefault="00F825A7" w:rsidP="00F057FA">
      <w:pPr>
        <w:spacing w:after="0" w:line="240" w:lineRule="auto"/>
        <w:rPr>
          <w:rFonts w:ascii="Aptos" w:hAnsi="Aptos"/>
        </w:rPr>
      </w:pPr>
      <w:r w:rsidRPr="00F057FA">
        <w:rPr>
          <w:rFonts w:ascii="Aptos" w:hAnsi="Aptos"/>
          <w:noProof/>
        </w:rPr>
        <w:lastRenderedPageBreak/>
        <w:drawing>
          <wp:inline distT="0" distB="0" distL="0" distR="0" wp14:anchorId="2A76B72D" wp14:editId="7B08A261">
            <wp:extent cx="5731510" cy="2179320"/>
            <wp:effectExtent l="0" t="0" r="2540" b="0"/>
            <wp:docPr id="1671949562" name="Picture 1" descr="The percentage of staff with a long-term condition or illness reporting that their employer has made reasonable adjustments to support them in their work has improved from 68.94%  to 71.94%. ">
              <a:extLst xmlns:a="http://schemas.openxmlformats.org/drawingml/2006/main">
                <a:ext uri="{FF2B5EF4-FFF2-40B4-BE49-F238E27FC236}">
                  <a16:creationId xmlns:a16="http://schemas.microsoft.com/office/drawing/2014/main" id="{0D9183AC-2BB5-0BED-C247-D36ACBB9B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49562" name="Picture 1" descr="The percentage of staff with a long-term condition or illness reporting that their employer has made reasonable adjustments to support them in their work has improved from 68.94%  to 71.94%. ">
                      <a:extLst>
                        <a:ext uri="{FF2B5EF4-FFF2-40B4-BE49-F238E27FC236}">
                          <a16:creationId xmlns:a16="http://schemas.microsoft.com/office/drawing/2014/main" id="{0D9183AC-2BB5-0BED-C247-D36ACBB9BF54}"/>
                        </a:ext>
                      </a:extLst>
                    </pic:cNvPr>
                    <pic:cNvPicPr>
                      <a:picLocks noChangeAspect="1"/>
                    </pic:cNvPicPr>
                  </pic:nvPicPr>
                  <pic:blipFill>
                    <a:blip r:embed="rId21"/>
                    <a:stretch>
                      <a:fillRect/>
                    </a:stretch>
                  </pic:blipFill>
                  <pic:spPr>
                    <a:xfrm>
                      <a:off x="0" y="0"/>
                      <a:ext cx="5731510" cy="2179320"/>
                    </a:xfrm>
                    <a:prstGeom prst="rect">
                      <a:avLst/>
                    </a:prstGeom>
                  </pic:spPr>
                </pic:pic>
              </a:graphicData>
            </a:graphic>
          </wp:inline>
        </w:drawing>
      </w:r>
    </w:p>
    <w:p w14:paraId="1520FEE3" w14:textId="77777777" w:rsidR="00F825A7" w:rsidRPr="00F057FA" w:rsidRDefault="00F825A7" w:rsidP="00F057FA">
      <w:pPr>
        <w:spacing w:after="0" w:line="240" w:lineRule="auto"/>
        <w:rPr>
          <w:rFonts w:ascii="Aptos" w:hAnsi="Aptos"/>
        </w:rPr>
      </w:pPr>
    </w:p>
    <w:p w14:paraId="5EC977D5" w14:textId="77777777" w:rsidR="00F825A7" w:rsidRPr="00F057FA" w:rsidRDefault="00F825A7" w:rsidP="00F057FA">
      <w:pPr>
        <w:spacing w:after="0" w:line="240" w:lineRule="auto"/>
        <w:rPr>
          <w:rFonts w:ascii="Aptos" w:hAnsi="Aptos"/>
        </w:rPr>
      </w:pPr>
    </w:p>
    <w:tbl>
      <w:tblPr>
        <w:tblW w:w="6960" w:type="dxa"/>
        <w:tblLook w:val="04A0" w:firstRow="1" w:lastRow="0" w:firstColumn="1" w:lastColumn="0" w:noHBand="0" w:noVBand="1"/>
      </w:tblPr>
      <w:tblGrid>
        <w:gridCol w:w="4080"/>
        <w:gridCol w:w="960"/>
        <w:gridCol w:w="960"/>
        <w:gridCol w:w="960"/>
      </w:tblGrid>
      <w:tr w:rsidR="00F825A7" w:rsidRPr="00F057FA" w14:paraId="1152EB18" w14:textId="77777777" w:rsidTr="00F825A7">
        <w:trPr>
          <w:trHeight w:val="290"/>
        </w:trPr>
        <w:tc>
          <w:tcPr>
            <w:tcW w:w="4080" w:type="dxa"/>
            <w:tcBorders>
              <w:top w:val="single" w:sz="4" w:space="0" w:color="auto"/>
              <w:left w:val="single" w:sz="4" w:space="0" w:color="auto"/>
              <w:bottom w:val="single" w:sz="4" w:space="0" w:color="auto"/>
              <w:right w:val="single" w:sz="4" w:space="0" w:color="auto"/>
            </w:tcBorders>
            <w:noWrap/>
            <w:vAlign w:val="bottom"/>
            <w:hideMark/>
          </w:tcPr>
          <w:p w14:paraId="3C07AC85" w14:textId="77777777" w:rsidR="00F825A7" w:rsidRPr="00F057FA" w:rsidRDefault="00F825A7"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0D723C4B" w14:textId="77777777" w:rsidR="00F825A7" w:rsidRPr="00F057FA" w:rsidRDefault="00F825A7"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727FB1C8" w14:textId="77777777" w:rsidR="00F825A7" w:rsidRPr="00F057FA" w:rsidRDefault="00F825A7"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27D429C3" w14:textId="77777777" w:rsidR="00F825A7" w:rsidRPr="00F057FA" w:rsidRDefault="00F825A7"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F825A7" w:rsidRPr="00F057FA" w14:paraId="583720CF" w14:textId="77777777" w:rsidTr="00F825A7">
        <w:trPr>
          <w:trHeight w:val="290"/>
        </w:trPr>
        <w:tc>
          <w:tcPr>
            <w:tcW w:w="4080" w:type="dxa"/>
            <w:tcBorders>
              <w:top w:val="nil"/>
              <w:left w:val="single" w:sz="4" w:space="0" w:color="auto"/>
              <w:bottom w:val="single" w:sz="4" w:space="0" w:color="auto"/>
              <w:right w:val="single" w:sz="4" w:space="0" w:color="auto"/>
            </w:tcBorders>
            <w:noWrap/>
            <w:vAlign w:val="bottom"/>
            <w:hideMark/>
          </w:tcPr>
          <w:p w14:paraId="3511B59C" w14:textId="77777777" w:rsidR="00F825A7" w:rsidRPr="00F057FA" w:rsidRDefault="00F825A7"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0370FCDD"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71.01%</w:t>
            </w:r>
          </w:p>
        </w:tc>
        <w:tc>
          <w:tcPr>
            <w:tcW w:w="960" w:type="dxa"/>
            <w:tcBorders>
              <w:top w:val="nil"/>
              <w:left w:val="nil"/>
              <w:bottom w:val="single" w:sz="4" w:space="0" w:color="auto"/>
              <w:right w:val="single" w:sz="4" w:space="0" w:color="auto"/>
            </w:tcBorders>
            <w:noWrap/>
            <w:vAlign w:val="bottom"/>
            <w:hideMark/>
          </w:tcPr>
          <w:p w14:paraId="20A15FF0"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68.94%</w:t>
            </w:r>
          </w:p>
        </w:tc>
        <w:tc>
          <w:tcPr>
            <w:tcW w:w="960" w:type="dxa"/>
            <w:tcBorders>
              <w:top w:val="nil"/>
              <w:left w:val="nil"/>
              <w:bottom w:val="single" w:sz="4" w:space="0" w:color="auto"/>
              <w:right w:val="single" w:sz="4" w:space="0" w:color="auto"/>
            </w:tcBorders>
            <w:noWrap/>
            <w:vAlign w:val="bottom"/>
            <w:hideMark/>
          </w:tcPr>
          <w:p w14:paraId="69EA2FC2"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71.94%</w:t>
            </w:r>
          </w:p>
        </w:tc>
      </w:tr>
      <w:tr w:rsidR="00F825A7" w:rsidRPr="00F057FA" w14:paraId="7062A22B" w14:textId="77777777" w:rsidTr="00F825A7">
        <w:trPr>
          <w:trHeight w:val="290"/>
        </w:trPr>
        <w:tc>
          <w:tcPr>
            <w:tcW w:w="4080" w:type="dxa"/>
            <w:tcBorders>
              <w:top w:val="nil"/>
              <w:left w:val="single" w:sz="4" w:space="0" w:color="auto"/>
              <w:bottom w:val="single" w:sz="4" w:space="0" w:color="auto"/>
              <w:right w:val="single" w:sz="4" w:space="0" w:color="auto"/>
            </w:tcBorders>
            <w:noWrap/>
            <w:vAlign w:val="bottom"/>
            <w:hideMark/>
          </w:tcPr>
          <w:p w14:paraId="55F27E4A" w14:textId="77777777" w:rsidR="00F825A7" w:rsidRPr="00F057FA" w:rsidRDefault="00F825A7"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52E3B599"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71.76%</w:t>
            </w:r>
          </w:p>
        </w:tc>
        <w:tc>
          <w:tcPr>
            <w:tcW w:w="960" w:type="dxa"/>
            <w:tcBorders>
              <w:top w:val="nil"/>
              <w:left w:val="nil"/>
              <w:bottom w:val="single" w:sz="4" w:space="0" w:color="auto"/>
              <w:right w:val="single" w:sz="4" w:space="0" w:color="auto"/>
            </w:tcBorders>
            <w:noWrap/>
            <w:vAlign w:val="bottom"/>
            <w:hideMark/>
          </w:tcPr>
          <w:p w14:paraId="04BA8AD3"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73.38%</w:t>
            </w:r>
          </w:p>
        </w:tc>
        <w:tc>
          <w:tcPr>
            <w:tcW w:w="960" w:type="dxa"/>
            <w:tcBorders>
              <w:top w:val="nil"/>
              <w:left w:val="nil"/>
              <w:bottom w:val="single" w:sz="4" w:space="0" w:color="auto"/>
              <w:right w:val="single" w:sz="4" w:space="0" w:color="auto"/>
            </w:tcBorders>
            <w:noWrap/>
            <w:vAlign w:val="bottom"/>
            <w:hideMark/>
          </w:tcPr>
          <w:p w14:paraId="036C64C6"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73.98%</w:t>
            </w:r>
          </w:p>
        </w:tc>
      </w:tr>
      <w:tr w:rsidR="00F825A7" w:rsidRPr="00F057FA" w14:paraId="314C4FE1" w14:textId="77777777" w:rsidTr="00F825A7">
        <w:trPr>
          <w:trHeight w:val="290"/>
        </w:trPr>
        <w:tc>
          <w:tcPr>
            <w:tcW w:w="4080" w:type="dxa"/>
            <w:tcBorders>
              <w:top w:val="nil"/>
              <w:left w:val="single" w:sz="4" w:space="0" w:color="auto"/>
              <w:bottom w:val="single" w:sz="4" w:space="0" w:color="auto"/>
              <w:right w:val="single" w:sz="4" w:space="0" w:color="auto"/>
            </w:tcBorders>
            <w:noWrap/>
            <w:vAlign w:val="bottom"/>
            <w:hideMark/>
          </w:tcPr>
          <w:p w14:paraId="12F44C33" w14:textId="77777777" w:rsidR="00F825A7" w:rsidRPr="00F057FA" w:rsidRDefault="00F825A7"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411C0EAE"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338</w:t>
            </w:r>
          </w:p>
        </w:tc>
        <w:tc>
          <w:tcPr>
            <w:tcW w:w="960" w:type="dxa"/>
            <w:tcBorders>
              <w:top w:val="nil"/>
              <w:left w:val="nil"/>
              <w:bottom w:val="single" w:sz="4" w:space="0" w:color="auto"/>
              <w:right w:val="single" w:sz="4" w:space="0" w:color="auto"/>
            </w:tcBorders>
            <w:noWrap/>
            <w:vAlign w:val="bottom"/>
            <w:hideMark/>
          </w:tcPr>
          <w:p w14:paraId="6C6BEDFE"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322</w:t>
            </w:r>
          </w:p>
        </w:tc>
        <w:tc>
          <w:tcPr>
            <w:tcW w:w="960" w:type="dxa"/>
            <w:tcBorders>
              <w:top w:val="nil"/>
              <w:left w:val="nil"/>
              <w:bottom w:val="single" w:sz="4" w:space="0" w:color="auto"/>
              <w:right w:val="single" w:sz="4" w:space="0" w:color="auto"/>
            </w:tcBorders>
            <w:noWrap/>
            <w:vAlign w:val="bottom"/>
            <w:hideMark/>
          </w:tcPr>
          <w:p w14:paraId="03961FBD" w14:textId="77777777" w:rsidR="00F825A7" w:rsidRPr="00F057FA" w:rsidRDefault="00F825A7"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392</w:t>
            </w:r>
          </w:p>
        </w:tc>
      </w:tr>
    </w:tbl>
    <w:p w14:paraId="3187EC74" w14:textId="77777777" w:rsidR="008519B6" w:rsidRPr="00F057FA" w:rsidRDefault="008519B6" w:rsidP="00F057FA">
      <w:pPr>
        <w:spacing w:after="0" w:line="240" w:lineRule="auto"/>
        <w:rPr>
          <w:rFonts w:ascii="Aptos" w:hAnsi="Aptos"/>
        </w:rPr>
      </w:pPr>
    </w:p>
    <w:p w14:paraId="4686D969" w14:textId="77777777" w:rsidR="008519B6" w:rsidRPr="00F057FA" w:rsidRDefault="008519B6" w:rsidP="00F057FA">
      <w:pPr>
        <w:pStyle w:val="Heading1"/>
        <w:spacing w:before="0" w:after="0" w:line="240" w:lineRule="auto"/>
        <w:rPr>
          <w:rFonts w:ascii="Aptos" w:hAnsi="Aptos"/>
        </w:rPr>
      </w:pPr>
      <w:bookmarkStart w:id="22" w:name="_Toc198627469"/>
      <w:r w:rsidRPr="00F057FA">
        <w:rPr>
          <w:rFonts w:ascii="Aptos" w:hAnsi="Aptos"/>
        </w:rPr>
        <w:t>Metric 9a – Staff engagement score (0-10)</w:t>
      </w:r>
      <w:bookmarkEnd w:id="22"/>
    </w:p>
    <w:p w14:paraId="05EDCC90" w14:textId="296E3803" w:rsidR="008519B6" w:rsidRDefault="008519B6" w:rsidP="00F057FA">
      <w:pPr>
        <w:spacing w:after="0" w:line="240" w:lineRule="auto"/>
        <w:rPr>
          <w:rFonts w:ascii="Aptos" w:hAnsi="Aptos" w:cs="Arial"/>
        </w:rPr>
      </w:pPr>
      <w:r w:rsidRPr="00F057FA">
        <w:rPr>
          <w:rFonts w:ascii="Aptos" w:hAnsi="Aptos" w:cs="Arial"/>
        </w:rPr>
        <w:t xml:space="preserve">The </w:t>
      </w:r>
      <w:r w:rsidR="007E2218" w:rsidRPr="00F057FA">
        <w:rPr>
          <w:rFonts w:ascii="Aptos" w:hAnsi="Aptos" w:cs="Arial"/>
        </w:rPr>
        <w:t>s</w:t>
      </w:r>
      <w:r w:rsidRPr="00F057FA">
        <w:rPr>
          <w:rFonts w:ascii="Aptos" w:hAnsi="Aptos" w:cs="Arial"/>
        </w:rPr>
        <w:t xml:space="preserve">taff </w:t>
      </w:r>
      <w:r w:rsidR="007E2218" w:rsidRPr="00F057FA">
        <w:rPr>
          <w:rFonts w:ascii="Aptos" w:hAnsi="Aptos" w:cs="Arial"/>
        </w:rPr>
        <w:t>e</w:t>
      </w:r>
      <w:r w:rsidRPr="00F057FA">
        <w:rPr>
          <w:rFonts w:ascii="Aptos" w:hAnsi="Aptos" w:cs="Arial"/>
        </w:rPr>
        <w:t xml:space="preserve">ngagement score has fluctuated slightly over the past 5 years. </w:t>
      </w:r>
      <w:r w:rsidR="00F825A7" w:rsidRPr="00F057FA">
        <w:rPr>
          <w:rFonts w:ascii="Aptos" w:hAnsi="Aptos" w:cs="Arial"/>
        </w:rPr>
        <w:t xml:space="preserve"> There has been a positive upward trend for the indicator. In 2024, the engagement score is 6.3 compared to 6.2 in 2023. For staff without</w:t>
      </w:r>
      <w:r w:rsidRPr="00F057FA">
        <w:rPr>
          <w:rFonts w:ascii="Aptos" w:hAnsi="Aptos" w:cs="Arial"/>
        </w:rPr>
        <w:t xml:space="preserve"> a long-term condition or illness</w:t>
      </w:r>
      <w:r w:rsidR="00F825A7" w:rsidRPr="00F057FA">
        <w:rPr>
          <w:rFonts w:ascii="Aptos" w:hAnsi="Aptos" w:cs="Arial"/>
        </w:rPr>
        <w:t>, the engagement score was 6.87 in 2023 and has increased slightly in 2024 to 6.97.</w:t>
      </w:r>
    </w:p>
    <w:p w14:paraId="61980ED0" w14:textId="77777777" w:rsidR="004A311D" w:rsidRPr="00F057FA" w:rsidRDefault="004A311D" w:rsidP="004A311D">
      <w:pPr>
        <w:spacing w:after="0" w:line="240" w:lineRule="auto"/>
        <w:rPr>
          <w:rFonts w:ascii="Aptos" w:hAnsi="Aptos" w:cs="Arial"/>
        </w:rPr>
      </w:pPr>
      <w:r>
        <w:rPr>
          <w:rFonts w:ascii="Aptos" w:hAnsi="Aptos" w:cs="Arial"/>
        </w:rPr>
        <w:t>Table 9:</w:t>
      </w:r>
      <w:r w:rsidRPr="00F057FA">
        <w:rPr>
          <w:rFonts w:ascii="Aptos" w:hAnsi="Aptos"/>
        </w:rPr>
        <w:t>Workforce Disability Equality Data for Metric 8 from 2020 to 2024.</w:t>
      </w:r>
    </w:p>
    <w:p w14:paraId="31CA48BC" w14:textId="217D30AF" w:rsidR="00535CF2" w:rsidRPr="00F057FA" w:rsidRDefault="00535CF2" w:rsidP="00F057FA">
      <w:pPr>
        <w:spacing w:after="0" w:line="240" w:lineRule="auto"/>
        <w:rPr>
          <w:rFonts w:ascii="Aptos" w:hAnsi="Aptos" w:cs="Arial"/>
        </w:rPr>
      </w:pPr>
    </w:p>
    <w:p w14:paraId="0ECD58C7" w14:textId="3618FC2D" w:rsidR="008519B6" w:rsidRPr="00F057FA" w:rsidRDefault="007E2218" w:rsidP="00F057FA">
      <w:pPr>
        <w:spacing w:after="0" w:line="240" w:lineRule="auto"/>
        <w:rPr>
          <w:rFonts w:ascii="Aptos" w:hAnsi="Aptos" w:cs="Arial"/>
        </w:rPr>
      </w:pPr>
      <w:r w:rsidRPr="00F057FA">
        <w:rPr>
          <w:rFonts w:ascii="Aptos" w:hAnsi="Aptos"/>
          <w:noProof/>
        </w:rPr>
        <w:drawing>
          <wp:inline distT="0" distB="0" distL="0" distR="0" wp14:anchorId="778F2635" wp14:editId="08E2C87B">
            <wp:extent cx="5731510" cy="1972945"/>
            <wp:effectExtent l="0" t="0" r="2540" b="8255"/>
            <wp:docPr id="224532500" name="Picture 1" descr="The staff engagement score has fluctuated slightly over the past 5 years.  There has been a positive upward trend for the indicator">
              <a:extLst xmlns:a="http://schemas.openxmlformats.org/drawingml/2006/main">
                <a:ext uri="{FF2B5EF4-FFF2-40B4-BE49-F238E27FC236}">
                  <a16:creationId xmlns:a16="http://schemas.microsoft.com/office/drawing/2014/main" id="{95B84FA1-B8F3-6B1A-AA9B-F252065D8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2500" name="Picture 1" descr="The staff engagement score has fluctuated slightly over the past 5 years.  There has been a positive upward trend for the indicator">
                      <a:extLst>
                        <a:ext uri="{FF2B5EF4-FFF2-40B4-BE49-F238E27FC236}">
                          <a16:creationId xmlns:a16="http://schemas.microsoft.com/office/drawing/2014/main" id="{95B84FA1-B8F3-6B1A-AA9B-F252065D8189}"/>
                        </a:ext>
                      </a:extLst>
                    </pic:cNvPr>
                    <pic:cNvPicPr>
                      <a:picLocks noChangeAspect="1"/>
                    </pic:cNvPicPr>
                  </pic:nvPicPr>
                  <pic:blipFill>
                    <a:blip r:embed="rId22"/>
                    <a:stretch>
                      <a:fillRect/>
                    </a:stretch>
                  </pic:blipFill>
                  <pic:spPr>
                    <a:xfrm>
                      <a:off x="0" y="0"/>
                      <a:ext cx="5731510" cy="1972945"/>
                    </a:xfrm>
                    <a:prstGeom prst="rect">
                      <a:avLst/>
                    </a:prstGeom>
                  </pic:spPr>
                </pic:pic>
              </a:graphicData>
            </a:graphic>
          </wp:inline>
        </w:drawing>
      </w:r>
    </w:p>
    <w:p w14:paraId="76D38110" w14:textId="77777777" w:rsidR="008519B6" w:rsidRPr="00F057FA" w:rsidRDefault="008519B6" w:rsidP="00F057FA">
      <w:pPr>
        <w:spacing w:after="0" w:line="240" w:lineRule="auto"/>
        <w:rPr>
          <w:rFonts w:ascii="Aptos" w:hAnsi="Aptos"/>
        </w:rPr>
      </w:pPr>
    </w:p>
    <w:tbl>
      <w:tblPr>
        <w:tblW w:w="8640" w:type="dxa"/>
        <w:tblLook w:val="04A0" w:firstRow="1" w:lastRow="0" w:firstColumn="1" w:lastColumn="0" w:noHBand="0" w:noVBand="1"/>
      </w:tblPr>
      <w:tblGrid>
        <w:gridCol w:w="3840"/>
        <w:gridCol w:w="960"/>
        <w:gridCol w:w="960"/>
        <w:gridCol w:w="960"/>
        <w:gridCol w:w="960"/>
        <w:gridCol w:w="960"/>
      </w:tblGrid>
      <w:tr w:rsidR="007E2218" w:rsidRPr="00F057FA" w14:paraId="68D87B7A" w14:textId="77777777" w:rsidTr="007E2218">
        <w:trPr>
          <w:trHeight w:val="290"/>
        </w:trPr>
        <w:tc>
          <w:tcPr>
            <w:tcW w:w="3840" w:type="dxa"/>
            <w:tcBorders>
              <w:top w:val="single" w:sz="4" w:space="0" w:color="auto"/>
              <w:left w:val="single" w:sz="4" w:space="0" w:color="auto"/>
              <w:bottom w:val="single" w:sz="4" w:space="0" w:color="auto"/>
              <w:right w:val="single" w:sz="4" w:space="0" w:color="auto"/>
            </w:tcBorders>
            <w:noWrap/>
            <w:vAlign w:val="bottom"/>
            <w:hideMark/>
          </w:tcPr>
          <w:p w14:paraId="4150B994" w14:textId="77777777" w:rsidR="007E2218" w:rsidRPr="00F057FA" w:rsidRDefault="007E2218" w:rsidP="00F057FA">
            <w:pPr>
              <w:spacing w:after="0" w:line="240" w:lineRule="auto"/>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Staff group</w:t>
            </w:r>
          </w:p>
        </w:tc>
        <w:tc>
          <w:tcPr>
            <w:tcW w:w="960" w:type="dxa"/>
            <w:tcBorders>
              <w:top w:val="single" w:sz="4" w:space="0" w:color="auto"/>
              <w:left w:val="nil"/>
              <w:bottom w:val="single" w:sz="4" w:space="0" w:color="auto"/>
              <w:right w:val="single" w:sz="4" w:space="0" w:color="auto"/>
            </w:tcBorders>
            <w:noWrap/>
            <w:vAlign w:val="bottom"/>
            <w:hideMark/>
          </w:tcPr>
          <w:p w14:paraId="50EC4718" w14:textId="77777777" w:rsidR="007E2218" w:rsidRPr="00F057FA" w:rsidRDefault="007E221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2020</w:t>
            </w:r>
          </w:p>
        </w:tc>
        <w:tc>
          <w:tcPr>
            <w:tcW w:w="960" w:type="dxa"/>
            <w:tcBorders>
              <w:top w:val="single" w:sz="4" w:space="0" w:color="auto"/>
              <w:left w:val="nil"/>
              <w:bottom w:val="single" w:sz="4" w:space="0" w:color="auto"/>
              <w:right w:val="single" w:sz="4" w:space="0" w:color="auto"/>
            </w:tcBorders>
            <w:noWrap/>
            <w:vAlign w:val="bottom"/>
            <w:hideMark/>
          </w:tcPr>
          <w:p w14:paraId="137045E1" w14:textId="77777777" w:rsidR="007E2218" w:rsidRPr="00F057FA" w:rsidRDefault="007E221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2021</w:t>
            </w:r>
          </w:p>
        </w:tc>
        <w:tc>
          <w:tcPr>
            <w:tcW w:w="960" w:type="dxa"/>
            <w:tcBorders>
              <w:top w:val="single" w:sz="4" w:space="0" w:color="auto"/>
              <w:left w:val="nil"/>
              <w:bottom w:val="single" w:sz="4" w:space="0" w:color="auto"/>
              <w:right w:val="single" w:sz="4" w:space="0" w:color="auto"/>
            </w:tcBorders>
            <w:noWrap/>
            <w:vAlign w:val="bottom"/>
            <w:hideMark/>
          </w:tcPr>
          <w:p w14:paraId="55357A44" w14:textId="77777777" w:rsidR="007E2218" w:rsidRPr="00F057FA" w:rsidRDefault="007E221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2022</w:t>
            </w:r>
          </w:p>
        </w:tc>
        <w:tc>
          <w:tcPr>
            <w:tcW w:w="960" w:type="dxa"/>
            <w:tcBorders>
              <w:top w:val="single" w:sz="4" w:space="0" w:color="auto"/>
              <w:left w:val="nil"/>
              <w:bottom w:val="single" w:sz="4" w:space="0" w:color="auto"/>
              <w:right w:val="single" w:sz="4" w:space="0" w:color="auto"/>
            </w:tcBorders>
            <w:noWrap/>
            <w:vAlign w:val="bottom"/>
            <w:hideMark/>
          </w:tcPr>
          <w:p w14:paraId="7FA05F03" w14:textId="77777777" w:rsidR="007E2218" w:rsidRPr="00F057FA" w:rsidRDefault="007E221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2023</w:t>
            </w:r>
          </w:p>
        </w:tc>
        <w:tc>
          <w:tcPr>
            <w:tcW w:w="960" w:type="dxa"/>
            <w:tcBorders>
              <w:top w:val="single" w:sz="4" w:space="0" w:color="auto"/>
              <w:left w:val="nil"/>
              <w:bottom w:val="single" w:sz="4" w:space="0" w:color="auto"/>
              <w:right w:val="single" w:sz="4" w:space="0" w:color="auto"/>
            </w:tcBorders>
            <w:noWrap/>
            <w:vAlign w:val="bottom"/>
            <w:hideMark/>
          </w:tcPr>
          <w:p w14:paraId="4669EDE6" w14:textId="77777777" w:rsidR="007E2218" w:rsidRPr="00F057FA" w:rsidRDefault="007E2218" w:rsidP="00F057FA">
            <w:pPr>
              <w:spacing w:after="0" w:line="240" w:lineRule="auto"/>
              <w:jc w:val="right"/>
              <w:rPr>
                <w:rFonts w:ascii="Aptos" w:eastAsia="Times New Roman" w:hAnsi="Aptos" w:cs="Times New Roman"/>
                <w:b/>
                <w:bCs/>
                <w:color w:val="000000"/>
                <w:kern w:val="0"/>
                <w:sz w:val="22"/>
                <w:szCs w:val="22"/>
                <w:lang w:eastAsia="en-GB"/>
                <w14:ligatures w14:val="none"/>
              </w:rPr>
            </w:pPr>
            <w:r w:rsidRPr="00F057FA">
              <w:rPr>
                <w:rFonts w:ascii="Aptos" w:eastAsia="Times New Roman" w:hAnsi="Aptos" w:cs="Times New Roman"/>
                <w:b/>
                <w:bCs/>
                <w:color w:val="000000"/>
                <w:kern w:val="0"/>
                <w:sz w:val="22"/>
                <w:szCs w:val="22"/>
                <w:lang w:eastAsia="en-GB"/>
                <w14:ligatures w14:val="none"/>
              </w:rPr>
              <w:t>2024</w:t>
            </w:r>
          </w:p>
        </w:tc>
      </w:tr>
      <w:tr w:rsidR="007E2218" w:rsidRPr="00F057FA" w14:paraId="75FC1528"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5405D8E0"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Organisation average</w:t>
            </w:r>
          </w:p>
        </w:tc>
        <w:tc>
          <w:tcPr>
            <w:tcW w:w="960" w:type="dxa"/>
            <w:tcBorders>
              <w:top w:val="nil"/>
              <w:left w:val="nil"/>
              <w:bottom w:val="single" w:sz="4" w:space="0" w:color="auto"/>
              <w:right w:val="single" w:sz="4" w:space="0" w:color="auto"/>
            </w:tcBorders>
            <w:noWrap/>
            <w:vAlign w:val="bottom"/>
            <w:hideMark/>
          </w:tcPr>
          <w:p w14:paraId="7F5DF63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6.82</w:t>
            </w:r>
          </w:p>
        </w:tc>
        <w:tc>
          <w:tcPr>
            <w:tcW w:w="960" w:type="dxa"/>
            <w:tcBorders>
              <w:top w:val="nil"/>
              <w:left w:val="nil"/>
              <w:bottom w:val="single" w:sz="4" w:space="0" w:color="auto"/>
              <w:right w:val="single" w:sz="4" w:space="0" w:color="auto"/>
            </w:tcBorders>
            <w:noWrap/>
            <w:vAlign w:val="bottom"/>
            <w:hideMark/>
          </w:tcPr>
          <w:p w14:paraId="52BCA5CD"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6.65</w:t>
            </w:r>
          </w:p>
        </w:tc>
        <w:tc>
          <w:tcPr>
            <w:tcW w:w="960" w:type="dxa"/>
            <w:tcBorders>
              <w:top w:val="nil"/>
              <w:left w:val="nil"/>
              <w:bottom w:val="single" w:sz="4" w:space="0" w:color="auto"/>
              <w:right w:val="single" w:sz="4" w:space="0" w:color="auto"/>
            </w:tcBorders>
            <w:noWrap/>
            <w:vAlign w:val="bottom"/>
            <w:hideMark/>
          </w:tcPr>
          <w:p w14:paraId="2A319E4A"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6.57</w:t>
            </w:r>
          </w:p>
        </w:tc>
        <w:tc>
          <w:tcPr>
            <w:tcW w:w="960" w:type="dxa"/>
            <w:tcBorders>
              <w:top w:val="nil"/>
              <w:left w:val="nil"/>
              <w:bottom w:val="single" w:sz="4" w:space="0" w:color="auto"/>
              <w:right w:val="single" w:sz="4" w:space="0" w:color="auto"/>
            </w:tcBorders>
            <w:noWrap/>
            <w:vAlign w:val="bottom"/>
            <w:hideMark/>
          </w:tcPr>
          <w:p w14:paraId="4C92372D"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6.71</w:t>
            </w:r>
          </w:p>
        </w:tc>
        <w:tc>
          <w:tcPr>
            <w:tcW w:w="960" w:type="dxa"/>
            <w:tcBorders>
              <w:top w:val="nil"/>
              <w:left w:val="nil"/>
              <w:bottom w:val="single" w:sz="4" w:space="0" w:color="auto"/>
              <w:right w:val="single" w:sz="4" w:space="0" w:color="auto"/>
            </w:tcBorders>
            <w:noWrap/>
            <w:vAlign w:val="bottom"/>
            <w:hideMark/>
          </w:tcPr>
          <w:p w14:paraId="205B9F54"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6.76</w:t>
            </w:r>
          </w:p>
        </w:tc>
      </w:tr>
      <w:tr w:rsidR="007E2218" w:rsidRPr="00F057FA" w14:paraId="3AB283C4"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62C48FD9"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SWBH</w:t>
            </w:r>
          </w:p>
        </w:tc>
        <w:tc>
          <w:tcPr>
            <w:tcW w:w="960" w:type="dxa"/>
            <w:tcBorders>
              <w:top w:val="nil"/>
              <w:left w:val="nil"/>
              <w:bottom w:val="single" w:sz="4" w:space="0" w:color="auto"/>
              <w:right w:val="single" w:sz="4" w:space="0" w:color="auto"/>
            </w:tcBorders>
            <w:noWrap/>
            <w:vAlign w:val="bottom"/>
            <w:hideMark/>
          </w:tcPr>
          <w:p w14:paraId="29CF5C76"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6.21</w:t>
            </w:r>
          </w:p>
        </w:tc>
        <w:tc>
          <w:tcPr>
            <w:tcW w:w="960" w:type="dxa"/>
            <w:tcBorders>
              <w:top w:val="nil"/>
              <w:left w:val="nil"/>
              <w:bottom w:val="single" w:sz="4" w:space="0" w:color="auto"/>
              <w:right w:val="single" w:sz="4" w:space="0" w:color="auto"/>
            </w:tcBorders>
            <w:noWrap/>
            <w:vAlign w:val="bottom"/>
            <w:hideMark/>
          </w:tcPr>
          <w:p w14:paraId="131AF289"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6.16</w:t>
            </w:r>
          </w:p>
        </w:tc>
        <w:tc>
          <w:tcPr>
            <w:tcW w:w="960" w:type="dxa"/>
            <w:tcBorders>
              <w:top w:val="nil"/>
              <w:left w:val="nil"/>
              <w:bottom w:val="single" w:sz="4" w:space="0" w:color="auto"/>
              <w:right w:val="single" w:sz="4" w:space="0" w:color="auto"/>
            </w:tcBorders>
            <w:noWrap/>
            <w:vAlign w:val="bottom"/>
            <w:hideMark/>
          </w:tcPr>
          <w:p w14:paraId="0BD7392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6.03</w:t>
            </w:r>
          </w:p>
        </w:tc>
        <w:tc>
          <w:tcPr>
            <w:tcW w:w="960" w:type="dxa"/>
            <w:tcBorders>
              <w:top w:val="nil"/>
              <w:left w:val="nil"/>
              <w:bottom w:val="single" w:sz="4" w:space="0" w:color="auto"/>
              <w:right w:val="single" w:sz="4" w:space="0" w:color="auto"/>
            </w:tcBorders>
            <w:noWrap/>
            <w:vAlign w:val="bottom"/>
            <w:hideMark/>
          </w:tcPr>
          <w:p w14:paraId="5AB95128"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6.2</w:t>
            </w:r>
          </w:p>
        </w:tc>
        <w:tc>
          <w:tcPr>
            <w:tcW w:w="960" w:type="dxa"/>
            <w:tcBorders>
              <w:top w:val="nil"/>
              <w:left w:val="nil"/>
              <w:bottom w:val="single" w:sz="4" w:space="0" w:color="auto"/>
              <w:right w:val="single" w:sz="4" w:space="0" w:color="auto"/>
            </w:tcBorders>
            <w:noWrap/>
            <w:vAlign w:val="bottom"/>
            <w:hideMark/>
          </w:tcPr>
          <w:p w14:paraId="126B5542"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6.3</w:t>
            </w:r>
          </w:p>
        </w:tc>
      </w:tr>
      <w:tr w:rsidR="007E2218" w:rsidRPr="00F057FA" w14:paraId="5201BA2E"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6D75D848"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SWBH</w:t>
            </w:r>
          </w:p>
        </w:tc>
        <w:tc>
          <w:tcPr>
            <w:tcW w:w="960" w:type="dxa"/>
            <w:tcBorders>
              <w:top w:val="nil"/>
              <w:left w:val="nil"/>
              <w:bottom w:val="single" w:sz="4" w:space="0" w:color="auto"/>
              <w:right w:val="single" w:sz="4" w:space="0" w:color="auto"/>
            </w:tcBorders>
            <w:noWrap/>
            <w:vAlign w:val="bottom"/>
            <w:hideMark/>
          </w:tcPr>
          <w:p w14:paraId="5CF73971"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6.97</w:t>
            </w:r>
          </w:p>
        </w:tc>
        <w:tc>
          <w:tcPr>
            <w:tcW w:w="960" w:type="dxa"/>
            <w:tcBorders>
              <w:top w:val="nil"/>
              <w:left w:val="nil"/>
              <w:bottom w:val="single" w:sz="4" w:space="0" w:color="auto"/>
              <w:right w:val="single" w:sz="4" w:space="0" w:color="auto"/>
            </w:tcBorders>
            <w:noWrap/>
            <w:vAlign w:val="bottom"/>
            <w:hideMark/>
          </w:tcPr>
          <w:p w14:paraId="1363847D"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6.8</w:t>
            </w:r>
          </w:p>
        </w:tc>
        <w:tc>
          <w:tcPr>
            <w:tcW w:w="960" w:type="dxa"/>
            <w:tcBorders>
              <w:top w:val="nil"/>
              <w:left w:val="nil"/>
              <w:bottom w:val="single" w:sz="4" w:space="0" w:color="auto"/>
              <w:right w:val="single" w:sz="4" w:space="0" w:color="auto"/>
            </w:tcBorders>
            <w:noWrap/>
            <w:vAlign w:val="bottom"/>
            <w:hideMark/>
          </w:tcPr>
          <w:p w14:paraId="6BDE5A1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6.71</w:t>
            </w:r>
          </w:p>
        </w:tc>
        <w:tc>
          <w:tcPr>
            <w:tcW w:w="960" w:type="dxa"/>
            <w:tcBorders>
              <w:top w:val="nil"/>
              <w:left w:val="nil"/>
              <w:bottom w:val="single" w:sz="4" w:space="0" w:color="auto"/>
              <w:right w:val="single" w:sz="4" w:space="0" w:color="auto"/>
            </w:tcBorders>
            <w:noWrap/>
            <w:vAlign w:val="bottom"/>
            <w:hideMark/>
          </w:tcPr>
          <w:p w14:paraId="4C341F44"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6.87</w:t>
            </w:r>
          </w:p>
        </w:tc>
        <w:tc>
          <w:tcPr>
            <w:tcW w:w="960" w:type="dxa"/>
            <w:tcBorders>
              <w:top w:val="nil"/>
              <w:left w:val="nil"/>
              <w:bottom w:val="single" w:sz="4" w:space="0" w:color="auto"/>
              <w:right w:val="single" w:sz="4" w:space="0" w:color="auto"/>
            </w:tcBorders>
            <w:noWrap/>
            <w:vAlign w:val="bottom"/>
            <w:hideMark/>
          </w:tcPr>
          <w:p w14:paraId="06A062FA"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6.92</w:t>
            </w:r>
          </w:p>
        </w:tc>
      </w:tr>
      <w:tr w:rsidR="007E2218" w:rsidRPr="00F057FA" w14:paraId="5C648B05"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27505ABE"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average</w:t>
            </w:r>
          </w:p>
        </w:tc>
        <w:tc>
          <w:tcPr>
            <w:tcW w:w="960" w:type="dxa"/>
            <w:tcBorders>
              <w:top w:val="nil"/>
              <w:left w:val="nil"/>
              <w:bottom w:val="single" w:sz="4" w:space="0" w:color="auto"/>
              <w:right w:val="single" w:sz="4" w:space="0" w:color="auto"/>
            </w:tcBorders>
            <w:noWrap/>
            <w:vAlign w:val="bottom"/>
            <w:hideMark/>
          </w:tcPr>
          <w:p w14:paraId="50B5F14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6.65</w:t>
            </w:r>
          </w:p>
        </w:tc>
        <w:tc>
          <w:tcPr>
            <w:tcW w:w="960" w:type="dxa"/>
            <w:tcBorders>
              <w:top w:val="nil"/>
              <w:left w:val="nil"/>
              <w:bottom w:val="single" w:sz="4" w:space="0" w:color="auto"/>
              <w:right w:val="single" w:sz="4" w:space="0" w:color="auto"/>
            </w:tcBorders>
            <w:noWrap/>
            <w:vAlign w:val="bottom"/>
            <w:hideMark/>
          </w:tcPr>
          <w:p w14:paraId="6EF725B5"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6.42</w:t>
            </w:r>
          </w:p>
        </w:tc>
        <w:tc>
          <w:tcPr>
            <w:tcW w:w="960" w:type="dxa"/>
            <w:tcBorders>
              <w:top w:val="nil"/>
              <w:left w:val="nil"/>
              <w:bottom w:val="single" w:sz="4" w:space="0" w:color="auto"/>
              <w:right w:val="single" w:sz="4" w:space="0" w:color="auto"/>
            </w:tcBorders>
            <w:noWrap/>
            <w:vAlign w:val="bottom"/>
            <w:hideMark/>
          </w:tcPr>
          <w:p w14:paraId="1A6E91EF"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6.35</w:t>
            </w:r>
          </w:p>
        </w:tc>
        <w:tc>
          <w:tcPr>
            <w:tcW w:w="960" w:type="dxa"/>
            <w:tcBorders>
              <w:top w:val="nil"/>
              <w:left w:val="nil"/>
              <w:bottom w:val="single" w:sz="4" w:space="0" w:color="auto"/>
              <w:right w:val="single" w:sz="4" w:space="0" w:color="auto"/>
            </w:tcBorders>
            <w:noWrap/>
            <w:vAlign w:val="bottom"/>
            <w:hideMark/>
          </w:tcPr>
          <w:p w14:paraId="1EE136FF"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6.46</w:t>
            </w:r>
          </w:p>
        </w:tc>
        <w:tc>
          <w:tcPr>
            <w:tcW w:w="960" w:type="dxa"/>
            <w:tcBorders>
              <w:top w:val="nil"/>
              <w:left w:val="nil"/>
              <w:bottom w:val="single" w:sz="4" w:space="0" w:color="auto"/>
              <w:right w:val="single" w:sz="4" w:space="0" w:color="auto"/>
            </w:tcBorders>
            <w:noWrap/>
            <w:vAlign w:val="bottom"/>
            <w:hideMark/>
          </w:tcPr>
          <w:p w14:paraId="41079ED1"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6.4</w:t>
            </w:r>
          </w:p>
        </w:tc>
      </w:tr>
      <w:tr w:rsidR="007E2218" w:rsidRPr="00F057FA" w14:paraId="604173CF"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18362984"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average</w:t>
            </w:r>
          </w:p>
        </w:tc>
        <w:tc>
          <w:tcPr>
            <w:tcW w:w="960" w:type="dxa"/>
            <w:tcBorders>
              <w:top w:val="nil"/>
              <w:left w:val="nil"/>
              <w:bottom w:val="single" w:sz="4" w:space="0" w:color="auto"/>
              <w:right w:val="single" w:sz="4" w:space="0" w:color="auto"/>
            </w:tcBorders>
            <w:noWrap/>
            <w:vAlign w:val="bottom"/>
            <w:hideMark/>
          </w:tcPr>
          <w:p w14:paraId="70E3799A"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7.14</w:t>
            </w:r>
          </w:p>
        </w:tc>
        <w:tc>
          <w:tcPr>
            <w:tcW w:w="960" w:type="dxa"/>
            <w:tcBorders>
              <w:top w:val="nil"/>
              <w:left w:val="nil"/>
              <w:bottom w:val="single" w:sz="4" w:space="0" w:color="auto"/>
              <w:right w:val="single" w:sz="4" w:space="0" w:color="auto"/>
            </w:tcBorders>
            <w:noWrap/>
            <w:vAlign w:val="bottom"/>
            <w:hideMark/>
          </w:tcPr>
          <w:p w14:paraId="61BD022D"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6.97</w:t>
            </w:r>
          </w:p>
        </w:tc>
        <w:tc>
          <w:tcPr>
            <w:tcW w:w="960" w:type="dxa"/>
            <w:tcBorders>
              <w:top w:val="nil"/>
              <w:left w:val="nil"/>
              <w:bottom w:val="single" w:sz="4" w:space="0" w:color="auto"/>
              <w:right w:val="single" w:sz="4" w:space="0" w:color="auto"/>
            </w:tcBorders>
            <w:noWrap/>
            <w:vAlign w:val="bottom"/>
            <w:hideMark/>
          </w:tcPr>
          <w:p w14:paraId="2B0974A8"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6.92</w:t>
            </w:r>
          </w:p>
        </w:tc>
        <w:tc>
          <w:tcPr>
            <w:tcW w:w="960" w:type="dxa"/>
            <w:tcBorders>
              <w:top w:val="nil"/>
              <w:left w:val="nil"/>
              <w:bottom w:val="single" w:sz="4" w:space="0" w:color="auto"/>
              <w:right w:val="single" w:sz="4" w:space="0" w:color="auto"/>
            </w:tcBorders>
            <w:noWrap/>
            <w:vAlign w:val="bottom"/>
            <w:hideMark/>
          </w:tcPr>
          <w:p w14:paraId="24CD119F"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7.04</w:t>
            </w:r>
          </w:p>
        </w:tc>
        <w:tc>
          <w:tcPr>
            <w:tcW w:w="960" w:type="dxa"/>
            <w:tcBorders>
              <w:top w:val="nil"/>
              <w:left w:val="nil"/>
              <w:bottom w:val="single" w:sz="4" w:space="0" w:color="auto"/>
              <w:right w:val="single" w:sz="4" w:space="0" w:color="auto"/>
            </w:tcBorders>
            <w:noWrap/>
            <w:vAlign w:val="bottom"/>
            <w:hideMark/>
          </w:tcPr>
          <w:p w14:paraId="6A29CA44"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7</w:t>
            </w:r>
          </w:p>
        </w:tc>
      </w:tr>
      <w:tr w:rsidR="007E2218" w:rsidRPr="00F057FA" w14:paraId="693D7F59"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4A04B59F"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 a LTC or illness responses</w:t>
            </w:r>
          </w:p>
        </w:tc>
        <w:tc>
          <w:tcPr>
            <w:tcW w:w="960" w:type="dxa"/>
            <w:tcBorders>
              <w:top w:val="nil"/>
              <w:left w:val="nil"/>
              <w:bottom w:val="single" w:sz="4" w:space="0" w:color="auto"/>
              <w:right w:val="single" w:sz="4" w:space="0" w:color="auto"/>
            </w:tcBorders>
            <w:noWrap/>
            <w:vAlign w:val="bottom"/>
            <w:hideMark/>
          </w:tcPr>
          <w:p w14:paraId="31B88468"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446</w:t>
            </w:r>
          </w:p>
        </w:tc>
        <w:tc>
          <w:tcPr>
            <w:tcW w:w="960" w:type="dxa"/>
            <w:tcBorders>
              <w:top w:val="nil"/>
              <w:left w:val="nil"/>
              <w:bottom w:val="single" w:sz="4" w:space="0" w:color="auto"/>
              <w:right w:val="single" w:sz="4" w:space="0" w:color="auto"/>
            </w:tcBorders>
            <w:noWrap/>
            <w:vAlign w:val="bottom"/>
            <w:hideMark/>
          </w:tcPr>
          <w:p w14:paraId="0EBC55FD"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572</w:t>
            </w:r>
          </w:p>
        </w:tc>
        <w:tc>
          <w:tcPr>
            <w:tcW w:w="960" w:type="dxa"/>
            <w:tcBorders>
              <w:top w:val="nil"/>
              <w:left w:val="nil"/>
              <w:bottom w:val="single" w:sz="4" w:space="0" w:color="auto"/>
              <w:right w:val="single" w:sz="4" w:space="0" w:color="auto"/>
            </w:tcBorders>
            <w:noWrap/>
            <w:vAlign w:val="bottom"/>
            <w:hideMark/>
          </w:tcPr>
          <w:p w14:paraId="6A3B73F8"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555</w:t>
            </w:r>
          </w:p>
        </w:tc>
        <w:tc>
          <w:tcPr>
            <w:tcW w:w="960" w:type="dxa"/>
            <w:tcBorders>
              <w:top w:val="nil"/>
              <w:left w:val="nil"/>
              <w:bottom w:val="single" w:sz="4" w:space="0" w:color="auto"/>
              <w:right w:val="single" w:sz="4" w:space="0" w:color="auto"/>
            </w:tcBorders>
            <w:noWrap/>
            <w:vAlign w:val="bottom"/>
            <w:hideMark/>
          </w:tcPr>
          <w:p w14:paraId="05DCDF9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518</w:t>
            </w:r>
          </w:p>
        </w:tc>
        <w:tc>
          <w:tcPr>
            <w:tcW w:w="960" w:type="dxa"/>
            <w:tcBorders>
              <w:top w:val="nil"/>
              <w:left w:val="nil"/>
              <w:bottom w:val="single" w:sz="4" w:space="0" w:color="auto"/>
              <w:right w:val="single" w:sz="4" w:space="0" w:color="auto"/>
            </w:tcBorders>
            <w:noWrap/>
            <w:vAlign w:val="bottom"/>
            <w:hideMark/>
          </w:tcPr>
          <w:p w14:paraId="057B60CE"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641</w:t>
            </w:r>
          </w:p>
        </w:tc>
      </w:tr>
      <w:tr w:rsidR="007E2218" w:rsidRPr="00F057FA" w14:paraId="75899DF4" w14:textId="77777777" w:rsidTr="007E2218">
        <w:trPr>
          <w:trHeight w:val="290"/>
        </w:trPr>
        <w:tc>
          <w:tcPr>
            <w:tcW w:w="3840" w:type="dxa"/>
            <w:tcBorders>
              <w:top w:val="nil"/>
              <w:left w:val="single" w:sz="4" w:space="0" w:color="auto"/>
              <w:bottom w:val="single" w:sz="4" w:space="0" w:color="auto"/>
              <w:right w:val="single" w:sz="4" w:space="0" w:color="auto"/>
            </w:tcBorders>
            <w:noWrap/>
            <w:vAlign w:val="bottom"/>
            <w:hideMark/>
          </w:tcPr>
          <w:p w14:paraId="774B623B" w14:textId="77777777" w:rsidR="007E2218" w:rsidRPr="00F057FA" w:rsidRDefault="007E2218" w:rsidP="00F057FA">
            <w:pPr>
              <w:spacing w:after="0" w:line="240" w:lineRule="auto"/>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Staff without a LTC or Illness responses</w:t>
            </w:r>
          </w:p>
        </w:tc>
        <w:tc>
          <w:tcPr>
            <w:tcW w:w="960" w:type="dxa"/>
            <w:tcBorders>
              <w:top w:val="nil"/>
              <w:left w:val="nil"/>
              <w:bottom w:val="single" w:sz="4" w:space="0" w:color="auto"/>
              <w:right w:val="single" w:sz="4" w:space="0" w:color="auto"/>
            </w:tcBorders>
            <w:noWrap/>
            <w:vAlign w:val="bottom"/>
            <w:hideMark/>
          </w:tcPr>
          <w:p w14:paraId="220456AA"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1895</w:t>
            </w:r>
          </w:p>
        </w:tc>
        <w:tc>
          <w:tcPr>
            <w:tcW w:w="960" w:type="dxa"/>
            <w:tcBorders>
              <w:top w:val="nil"/>
              <w:left w:val="nil"/>
              <w:bottom w:val="single" w:sz="4" w:space="0" w:color="auto"/>
              <w:right w:val="single" w:sz="4" w:space="0" w:color="auto"/>
            </w:tcBorders>
            <w:noWrap/>
            <w:vAlign w:val="bottom"/>
            <w:hideMark/>
          </w:tcPr>
          <w:p w14:paraId="1B7D7A85"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1978</w:t>
            </w:r>
          </w:p>
        </w:tc>
        <w:tc>
          <w:tcPr>
            <w:tcW w:w="960" w:type="dxa"/>
            <w:tcBorders>
              <w:top w:val="nil"/>
              <w:left w:val="nil"/>
              <w:bottom w:val="single" w:sz="4" w:space="0" w:color="auto"/>
              <w:right w:val="single" w:sz="4" w:space="0" w:color="auto"/>
            </w:tcBorders>
            <w:noWrap/>
            <w:vAlign w:val="bottom"/>
            <w:hideMark/>
          </w:tcPr>
          <w:p w14:paraId="37D21416"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2063</w:t>
            </w:r>
          </w:p>
        </w:tc>
        <w:tc>
          <w:tcPr>
            <w:tcW w:w="960" w:type="dxa"/>
            <w:tcBorders>
              <w:top w:val="nil"/>
              <w:left w:val="nil"/>
              <w:bottom w:val="single" w:sz="4" w:space="0" w:color="auto"/>
              <w:right w:val="single" w:sz="4" w:space="0" w:color="auto"/>
            </w:tcBorders>
            <w:noWrap/>
            <w:vAlign w:val="bottom"/>
            <w:hideMark/>
          </w:tcPr>
          <w:p w14:paraId="11596CAF"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1709</w:t>
            </w:r>
          </w:p>
        </w:tc>
        <w:tc>
          <w:tcPr>
            <w:tcW w:w="960" w:type="dxa"/>
            <w:tcBorders>
              <w:top w:val="nil"/>
              <w:left w:val="nil"/>
              <w:bottom w:val="single" w:sz="4" w:space="0" w:color="auto"/>
              <w:right w:val="single" w:sz="4" w:space="0" w:color="auto"/>
            </w:tcBorders>
            <w:noWrap/>
            <w:vAlign w:val="bottom"/>
            <w:hideMark/>
          </w:tcPr>
          <w:p w14:paraId="2EAB1D23"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r w:rsidRPr="00F057FA">
              <w:rPr>
                <w:rFonts w:ascii="Aptos" w:eastAsia="Times New Roman" w:hAnsi="Aptos" w:cs="Times New Roman"/>
                <w:color w:val="000000"/>
                <w:kern w:val="0"/>
                <w:sz w:val="22"/>
                <w:szCs w:val="22"/>
                <w:lang w:eastAsia="en-GB"/>
                <w14:ligatures w14:val="none"/>
              </w:rPr>
              <w:t>2046</w:t>
            </w:r>
          </w:p>
        </w:tc>
      </w:tr>
      <w:tr w:rsidR="007E2218" w:rsidRPr="00F057FA" w14:paraId="79F1598E" w14:textId="77777777" w:rsidTr="007E2218">
        <w:trPr>
          <w:trHeight w:val="290"/>
        </w:trPr>
        <w:tc>
          <w:tcPr>
            <w:tcW w:w="3840" w:type="dxa"/>
            <w:tcBorders>
              <w:top w:val="nil"/>
              <w:left w:val="nil"/>
              <w:bottom w:val="nil"/>
              <w:right w:val="nil"/>
            </w:tcBorders>
            <w:noWrap/>
            <w:vAlign w:val="bottom"/>
            <w:hideMark/>
          </w:tcPr>
          <w:p w14:paraId="3B7D9C77" w14:textId="77777777" w:rsidR="007E2218" w:rsidRPr="00F057FA" w:rsidRDefault="007E2218" w:rsidP="00F057FA">
            <w:pPr>
              <w:spacing w:after="0" w:line="240" w:lineRule="auto"/>
              <w:jc w:val="right"/>
              <w:rPr>
                <w:rFonts w:ascii="Aptos" w:eastAsia="Times New Roman" w:hAnsi="Aptos" w:cs="Times New Roman"/>
                <w:color w:val="000000"/>
                <w:kern w:val="0"/>
                <w:sz w:val="22"/>
                <w:szCs w:val="22"/>
                <w:lang w:eastAsia="en-GB"/>
                <w14:ligatures w14:val="none"/>
              </w:rPr>
            </w:pPr>
          </w:p>
        </w:tc>
        <w:tc>
          <w:tcPr>
            <w:tcW w:w="960" w:type="dxa"/>
            <w:tcBorders>
              <w:top w:val="nil"/>
              <w:left w:val="nil"/>
              <w:bottom w:val="nil"/>
              <w:right w:val="nil"/>
            </w:tcBorders>
            <w:noWrap/>
            <w:vAlign w:val="bottom"/>
            <w:hideMark/>
          </w:tcPr>
          <w:p w14:paraId="5CE860C3" w14:textId="77777777" w:rsidR="007E2218" w:rsidRPr="00F057FA" w:rsidRDefault="007E2218" w:rsidP="00F057FA">
            <w:pPr>
              <w:spacing w:after="0" w:line="240" w:lineRule="auto"/>
              <w:rPr>
                <w:rFonts w:ascii="Aptos" w:eastAsia="Times New Roman" w:hAnsi="Aptos"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59D50962" w14:textId="77777777" w:rsidR="007E2218" w:rsidRPr="00F057FA" w:rsidRDefault="007E2218" w:rsidP="00F057FA">
            <w:pPr>
              <w:spacing w:after="0" w:line="240" w:lineRule="auto"/>
              <w:rPr>
                <w:rFonts w:ascii="Aptos" w:eastAsia="Times New Roman" w:hAnsi="Aptos"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5CD5C7B2" w14:textId="77777777" w:rsidR="007E2218" w:rsidRPr="00F057FA" w:rsidRDefault="007E2218" w:rsidP="00F057FA">
            <w:pPr>
              <w:spacing w:after="0" w:line="240" w:lineRule="auto"/>
              <w:rPr>
                <w:rFonts w:ascii="Aptos" w:eastAsia="Times New Roman" w:hAnsi="Aptos"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105AE25D" w14:textId="77777777" w:rsidR="007E2218" w:rsidRPr="00F057FA" w:rsidRDefault="007E2218" w:rsidP="00F057FA">
            <w:pPr>
              <w:spacing w:after="0" w:line="240" w:lineRule="auto"/>
              <w:rPr>
                <w:rFonts w:ascii="Aptos" w:eastAsia="Times New Roman" w:hAnsi="Aptos"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09AAD671" w14:textId="77777777" w:rsidR="007E2218" w:rsidRPr="00F057FA" w:rsidRDefault="007E2218" w:rsidP="00F057FA">
            <w:pPr>
              <w:spacing w:after="0" w:line="240" w:lineRule="auto"/>
              <w:rPr>
                <w:rFonts w:ascii="Aptos" w:eastAsia="Times New Roman" w:hAnsi="Aptos" w:cs="Times New Roman"/>
                <w:kern w:val="0"/>
                <w:sz w:val="20"/>
                <w:szCs w:val="20"/>
                <w:lang w:eastAsia="en-GB"/>
                <w14:ligatures w14:val="none"/>
              </w:rPr>
            </w:pPr>
          </w:p>
        </w:tc>
      </w:tr>
    </w:tbl>
    <w:p w14:paraId="4267DFDD" w14:textId="686D7842" w:rsidR="007E2218" w:rsidRPr="00F057FA" w:rsidRDefault="008519B6" w:rsidP="00F057FA">
      <w:pPr>
        <w:pStyle w:val="Heading1"/>
        <w:spacing w:before="0" w:after="0" w:line="240" w:lineRule="auto"/>
        <w:rPr>
          <w:rFonts w:ascii="Aptos" w:hAnsi="Aptos"/>
        </w:rPr>
      </w:pPr>
      <w:bookmarkStart w:id="23" w:name="_Toc198627470"/>
      <w:r w:rsidRPr="00F057FA">
        <w:rPr>
          <w:rFonts w:ascii="Aptos" w:hAnsi="Aptos"/>
        </w:rPr>
        <w:t>Metric 9b – How the organisation facilitates the voices of staff with disabilities</w:t>
      </w:r>
      <w:bookmarkEnd w:id="23"/>
    </w:p>
    <w:p w14:paraId="197A4637" w14:textId="77777777" w:rsidR="00DF452C" w:rsidRDefault="00DF452C" w:rsidP="00F057FA">
      <w:pPr>
        <w:pStyle w:val="NormalWeb"/>
        <w:spacing w:before="0" w:beforeAutospacing="0" w:after="0" w:afterAutospacing="0"/>
        <w:rPr>
          <w:rFonts w:ascii="Aptos" w:hAnsi="Aptos" w:cs="Arial"/>
        </w:rPr>
      </w:pPr>
      <w:r w:rsidRPr="00F057FA">
        <w:rPr>
          <w:rFonts w:ascii="Aptos" w:hAnsi="Aptos" w:cs="Arial"/>
        </w:rPr>
        <w:t>Over the past year, the Trust has made notable progress in enhancing the visibility and impact of the Disability &amp; Long-Term Conditions Staff Network. The Network’s core activities have centred around raising awareness, promoting available support services, and creating a safe space for staff to share their lived experiences. These initiatives continue to play a vital role in advancing our commitment to creating a workplace where all staff feel valued, supported, and able to thrive.</w:t>
      </w:r>
    </w:p>
    <w:p w14:paraId="036D1CA7" w14:textId="77777777" w:rsidR="00535CF2" w:rsidRPr="00F057FA" w:rsidRDefault="00535CF2" w:rsidP="00F057FA">
      <w:pPr>
        <w:pStyle w:val="NormalWeb"/>
        <w:spacing w:before="0" w:beforeAutospacing="0" w:after="0" w:afterAutospacing="0"/>
        <w:rPr>
          <w:rFonts w:ascii="Aptos" w:hAnsi="Aptos" w:cs="Arial"/>
        </w:rPr>
      </w:pPr>
    </w:p>
    <w:p w14:paraId="02E470C5" w14:textId="77777777" w:rsidR="00DF452C" w:rsidRDefault="00DF452C" w:rsidP="00F057FA">
      <w:pPr>
        <w:pStyle w:val="NormalWeb"/>
        <w:spacing w:before="0" w:beforeAutospacing="0" w:after="0" w:afterAutospacing="0"/>
        <w:rPr>
          <w:rFonts w:ascii="Aptos" w:hAnsi="Aptos" w:cs="Arial"/>
        </w:rPr>
      </w:pPr>
      <w:r w:rsidRPr="00F057FA">
        <w:rPr>
          <w:rFonts w:ascii="Aptos" w:hAnsi="Aptos" w:cs="Arial"/>
        </w:rPr>
        <w:t>We have maintained our collaborative efforts with the Electronic Staff Record (ESR) team to encourage staff to disclose or update their equality and diversity information. As a result, the disability disclosure rate has increased to 4.8%, up from 4.0% in the previous year. Additionally, the rate of non-disclosure has decreased by 2%. These improvements provide a more accurate understanding of our workforce and support more targeted and inclusive interventions.</w:t>
      </w:r>
    </w:p>
    <w:p w14:paraId="4E8722E0" w14:textId="77777777" w:rsidR="00535CF2" w:rsidRPr="00F057FA" w:rsidRDefault="00535CF2" w:rsidP="00F057FA">
      <w:pPr>
        <w:pStyle w:val="NormalWeb"/>
        <w:spacing w:before="0" w:beforeAutospacing="0" w:after="0" w:afterAutospacing="0"/>
        <w:rPr>
          <w:rFonts w:ascii="Aptos" w:hAnsi="Aptos" w:cs="Arial"/>
        </w:rPr>
      </w:pPr>
    </w:p>
    <w:p w14:paraId="10C6DF4E" w14:textId="7B209000" w:rsidR="00DF452C" w:rsidRDefault="00DF452C" w:rsidP="00F057FA">
      <w:pPr>
        <w:pStyle w:val="NormalWeb"/>
        <w:spacing w:before="0" w:beforeAutospacing="0" w:after="0" w:afterAutospacing="0"/>
        <w:rPr>
          <w:rFonts w:ascii="Aptos" w:hAnsi="Aptos" w:cs="Arial"/>
        </w:rPr>
      </w:pPr>
      <w:r w:rsidRPr="00F057FA">
        <w:rPr>
          <w:rFonts w:ascii="Aptos" w:hAnsi="Aptos" w:cs="Arial"/>
        </w:rPr>
        <w:t xml:space="preserve">In 2024, the Trust was successfully reassessed and achieved Level 2 status under the Disability Confident scheme, as evaluated by the Employers Network for Equality and Inclusion (enei). Furthermore, the Trust was awarded </w:t>
      </w:r>
      <w:r w:rsidR="00003EB7" w:rsidRPr="00F057FA">
        <w:rPr>
          <w:rFonts w:ascii="Aptos" w:hAnsi="Aptos" w:cs="Arial"/>
        </w:rPr>
        <w:t>gold</w:t>
      </w:r>
      <w:r w:rsidRPr="00F057FA">
        <w:rPr>
          <w:rFonts w:ascii="Aptos" w:hAnsi="Aptos" w:cs="Arial"/>
        </w:rPr>
        <w:t xml:space="preserve"> status in enei’s Talent Inclusion &amp; Diversity Evaluation (TIDE) Mark—an important recognition of our continued progress and leadership in equality, diversity, and inclusion.</w:t>
      </w:r>
    </w:p>
    <w:p w14:paraId="420E79DF" w14:textId="77777777" w:rsidR="00535CF2" w:rsidRPr="00F057FA" w:rsidRDefault="00535CF2" w:rsidP="00F057FA">
      <w:pPr>
        <w:pStyle w:val="NormalWeb"/>
        <w:spacing w:before="0" w:beforeAutospacing="0" w:after="0" w:afterAutospacing="0"/>
        <w:rPr>
          <w:rFonts w:ascii="Aptos" w:hAnsi="Aptos" w:cs="Arial"/>
        </w:rPr>
      </w:pPr>
    </w:p>
    <w:p w14:paraId="09490077" w14:textId="4A9C2414" w:rsidR="007E2218" w:rsidRPr="00F057FA" w:rsidRDefault="007E2218" w:rsidP="00F057FA">
      <w:pPr>
        <w:pStyle w:val="Heading1"/>
        <w:spacing w:before="0" w:after="0" w:line="240" w:lineRule="auto"/>
        <w:rPr>
          <w:rFonts w:ascii="Aptos" w:hAnsi="Aptos"/>
        </w:rPr>
      </w:pPr>
      <w:r w:rsidRPr="00F057FA">
        <w:rPr>
          <w:rFonts w:ascii="Aptos" w:hAnsi="Aptos"/>
        </w:rPr>
        <w:t>Metric 10 – Board representation</w:t>
      </w:r>
    </w:p>
    <w:p w14:paraId="41A10A9F" w14:textId="4DDBA035" w:rsidR="008519B6" w:rsidRDefault="004A48FF" w:rsidP="00F057FA">
      <w:pPr>
        <w:spacing w:after="0" w:line="240" w:lineRule="auto"/>
        <w:rPr>
          <w:rFonts w:ascii="Aptos" w:hAnsi="Aptos" w:cs="Arial"/>
        </w:rPr>
      </w:pPr>
      <w:r w:rsidRPr="00F057FA">
        <w:rPr>
          <w:rFonts w:ascii="Aptos" w:hAnsi="Aptos" w:cs="Arial"/>
        </w:rPr>
        <w:t>The representation of individuals with a long-term health condition or disability on the Board remains unchanged."</w:t>
      </w:r>
    </w:p>
    <w:p w14:paraId="64B4AEE4" w14:textId="77777777" w:rsidR="00535CF2" w:rsidRPr="00F057FA" w:rsidRDefault="00535CF2" w:rsidP="00F057FA">
      <w:pPr>
        <w:spacing w:after="0" w:line="240" w:lineRule="auto"/>
        <w:rPr>
          <w:rFonts w:ascii="Aptos" w:hAnsi="Aptos" w:cs="Arial"/>
        </w:rPr>
      </w:pPr>
    </w:p>
    <w:p w14:paraId="5A214EB3" w14:textId="77777777" w:rsidR="008519B6" w:rsidRPr="00F057FA" w:rsidRDefault="008519B6" w:rsidP="00F057FA">
      <w:pPr>
        <w:pStyle w:val="Heading1"/>
        <w:spacing w:before="0" w:after="0" w:line="240" w:lineRule="auto"/>
        <w:rPr>
          <w:rFonts w:ascii="Aptos" w:hAnsi="Aptos"/>
        </w:rPr>
      </w:pPr>
      <w:bookmarkStart w:id="24" w:name="_Toc198627471"/>
      <w:r w:rsidRPr="00F057FA">
        <w:rPr>
          <w:rFonts w:ascii="Aptos" w:hAnsi="Aptos"/>
        </w:rPr>
        <w:t>Conclusion</w:t>
      </w:r>
      <w:bookmarkEnd w:id="24"/>
    </w:p>
    <w:p w14:paraId="02F9D35F" w14:textId="1178A6F0" w:rsidR="004A48FF" w:rsidRPr="00F057FA" w:rsidRDefault="004A48FF" w:rsidP="00F057FA">
      <w:pPr>
        <w:spacing w:after="0" w:line="240" w:lineRule="auto"/>
        <w:rPr>
          <w:rFonts w:ascii="Aptos" w:hAnsi="Aptos" w:cs="Arial"/>
        </w:rPr>
      </w:pPr>
      <w:r w:rsidRPr="00F057FA">
        <w:rPr>
          <w:rFonts w:ascii="Aptos" w:hAnsi="Aptos" w:cs="Arial"/>
        </w:rPr>
        <w:t xml:space="preserve">The Trust continues to make </w:t>
      </w:r>
      <w:r w:rsidR="003533B1" w:rsidRPr="00F057FA">
        <w:rPr>
          <w:rFonts w:ascii="Aptos" w:hAnsi="Aptos" w:cs="Arial"/>
        </w:rPr>
        <w:t>good progress with</w:t>
      </w:r>
      <w:r w:rsidRPr="00F057FA">
        <w:rPr>
          <w:rFonts w:ascii="Aptos" w:hAnsi="Aptos" w:cs="Arial"/>
        </w:rPr>
        <w:t xml:space="preserve"> disability equality and is currently </w:t>
      </w:r>
      <w:r w:rsidR="003533B1" w:rsidRPr="00F057FA">
        <w:rPr>
          <w:rFonts w:ascii="Aptos" w:hAnsi="Aptos" w:cs="Arial"/>
        </w:rPr>
        <w:t xml:space="preserve">implementing </w:t>
      </w:r>
      <w:r w:rsidRPr="00F057FA">
        <w:rPr>
          <w:rFonts w:ascii="Aptos" w:hAnsi="Aptos" w:cs="Arial"/>
        </w:rPr>
        <w:t>the following programme</w:t>
      </w:r>
      <w:r w:rsidR="003533B1" w:rsidRPr="00F057FA">
        <w:rPr>
          <w:rFonts w:ascii="Aptos" w:hAnsi="Aptos" w:cs="Arial"/>
        </w:rPr>
        <w:t>s</w:t>
      </w:r>
      <w:r w:rsidRPr="00F057FA">
        <w:rPr>
          <w:rFonts w:ascii="Aptos" w:hAnsi="Aptos" w:cs="Arial"/>
        </w:rPr>
        <w:t xml:space="preserve"> of work to progress disability equality</w:t>
      </w:r>
      <w:r w:rsidRPr="00F057FA">
        <w:rPr>
          <w:rFonts w:ascii="Aptos" w:eastAsia="Times New Roman" w:hAnsi="Aptos" w:cs="Arial"/>
          <w:kern w:val="0"/>
          <w:lang w:eastAsia="en-GB"/>
          <w14:ligatures w14:val="none"/>
        </w:rPr>
        <w:t>.</w:t>
      </w:r>
    </w:p>
    <w:p w14:paraId="452E951D" w14:textId="7491A5A8" w:rsidR="004A48FF" w:rsidRPr="00F057FA" w:rsidRDefault="004A48FF" w:rsidP="00F057FA">
      <w:pPr>
        <w:spacing w:after="0" w:line="240" w:lineRule="auto"/>
        <w:rPr>
          <w:rFonts w:ascii="Aptos" w:eastAsia="Times New Roman" w:hAnsi="Aptos" w:cs="Arial"/>
          <w:kern w:val="0"/>
          <w:lang w:eastAsia="en-GB"/>
          <w14:ligatures w14:val="none"/>
        </w:rPr>
      </w:pPr>
    </w:p>
    <w:p w14:paraId="47D7170A" w14:textId="77777777" w:rsidR="003533B1" w:rsidRPr="00F057FA" w:rsidRDefault="003533B1" w:rsidP="00F057FA">
      <w:pPr>
        <w:pStyle w:val="NormalWeb"/>
        <w:spacing w:before="0" w:beforeAutospacing="0" w:after="0" w:afterAutospacing="0"/>
        <w:rPr>
          <w:rFonts w:ascii="Aptos" w:hAnsi="Aptos" w:cs="Arial"/>
        </w:rPr>
      </w:pPr>
      <w:r w:rsidRPr="00F057FA">
        <w:rPr>
          <w:rStyle w:val="Strong"/>
          <w:rFonts w:ascii="Aptos" w:eastAsiaTheme="majorEastAsia" w:hAnsi="Aptos" w:cs="Arial"/>
        </w:rPr>
        <w:t>Improving Support for Disabled Colleagues: Progress and Next Steps</w:t>
      </w:r>
    </w:p>
    <w:p w14:paraId="219BB72C" w14:textId="77777777" w:rsidR="003533B1" w:rsidRPr="00F057FA" w:rsidRDefault="003533B1" w:rsidP="00F057FA">
      <w:pPr>
        <w:pStyle w:val="NormalWeb"/>
        <w:spacing w:before="0" w:beforeAutospacing="0" w:after="0" w:afterAutospacing="0"/>
        <w:rPr>
          <w:rFonts w:ascii="Aptos" w:hAnsi="Aptos" w:cs="Arial"/>
        </w:rPr>
      </w:pPr>
      <w:r w:rsidRPr="00F057FA">
        <w:rPr>
          <w:rFonts w:ascii="Aptos" w:hAnsi="Aptos" w:cs="Arial"/>
        </w:rPr>
        <w:t>In collaboration with the Disability and Long-term Conditions Network lead, a comprehensive set of actions has been established to enhance support for our disabled colleagues. The primary focus is on facilitating reasonable adjustments through improved awareness, education, and streamlined processes.</w:t>
      </w:r>
    </w:p>
    <w:p w14:paraId="6DCED2F8" w14:textId="32F8B5A2" w:rsidR="003533B1" w:rsidRPr="00F057FA" w:rsidRDefault="003533B1" w:rsidP="00F057FA">
      <w:pPr>
        <w:pStyle w:val="NormalWeb"/>
        <w:numPr>
          <w:ilvl w:val="0"/>
          <w:numId w:val="40"/>
        </w:numPr>
        <w:spacing w:before="0" w:beforeAutospacing="0" w:after="0" w:afterAutospacing="0"/>
        <w:rPr>
          <w:rFonts w:ascii="Aptos" w:hAnsi="Aptos" w:cs="Arial"/>
        </w:rPr>
      </w:pPr>
      <w:r w:rsidRPr="00F057FA">
        <w:rPr>
          <w:rStyle w:val="Strong"/>
          <w:rFonts w:ascii="Aptos" w:eastAsiaTheme="majorEastAsia" w:hAnsi="Aptos" w:cs="Arial"/>
        </w:rPr>
        <w:t>Implementation of the Health Passport</w:t>
      </w:r>
      <w:r w:rsidRPr="00F057FA">
        <w:rPr>
          <w:rFonts w:ascii="Aptos" w:hAnsi="Aptos" w:cs="Arial"/>
        </w:rPr>
        <w:br/>
        <w:t xml:space="preserve">The Health Passport initiative aims to enable constructive conversations between disabled colleagues and their managers regarding health needs and reasonable adjustments. A recent survey assessed current usage and potential areas for improvement. The findings are currently under review, with a planned launch targeted for </w:t>
      </w:r>
      <w:r w:rsidR="00535CF2">
        <w:rPr>
          <w:rFonts w:ascii="Aptos" w:hAnsi="Aptos" w:cs="Arial"/>
        </w:rPr>
        <w:t xml:space="preserve">Q3 </w:t>
      </w:r>
      <w:r w:rsidRPr="00F057FA">
        <w:rPr>
          <w:rFonts w:ascii="Aptos" w:hAnsi="Aptos" w:cs="Arial"/>
        </w:rPr>
        <w:t>2025.</w:t>
      </w:r>
    </w:p>
    <w:p w14:paraId="328078F1" w14:textId="1DD6A7CD" w:rsidR="003533B1" w:rsidRPr="00F057FA" w:rsidRDefault="003533B1" w:rsidP="00F057FA">
      <w:pPr>
        <w:pStyle w:val="NormalWeb"/>
        <w:numPr>
          <w:ilvl w:val="0"/>
          <w:numId w:val="40"/>
        </w:numPr>
        <w:spacing w:before="0" w:beforeAutospacing="0" w:after="0" w:afterAutospacing="0"/>
        <w:rPr>
          <w:rFonts w:ascii="Aptos" w:hAnsi="Aptos" w:cs="Arial"/>
        </w:rPr>
      </w:pPr>
      <w:r w:rsidRPr="00F057FA">
        <w:rPr>
          <w:rStyle w:val="Strong"/>
          <w:rFonts w:ascii="Aptos" w:eastAsiaTheme="majorEastAsia" w:hAnsi="Aptos" w:cs="Arial"/>
        </w:rPr>
        <w:t>Development of a Reasonable Adjustments Framework</w:t>
      </w:r>
      <w:r w:rsidRPr="00F057FA">
        <w:rPr>
          <w:rFonts w:ascii="Aptos" w:hAnsi="Aptos" w:cs="Arial"/>
        </w:rPr>
        <w:br/>
        <w:t xml:space="preserve">While the existing Attendance at Work policy outlines requirements for </w:t>
      </w:r>
      <w:r w:rsidRPr="00F057FA">
        <w:rPr>
          <w:rFonts w:ascii="Aptos" w:hAnsi="Aptos" w:cs="Arial"/>
        </w:rPr>
        <w:lastRenderedPageBreak/>
        <w:t xml:space="preserve">reasonable adjustments, it does not always apply, particularly where absence is not a factor or adjustments are needed for broader inclusivity reasons (e.g., menopause-related symptoms). To address this gap, a dedicated Reasonable Adjustments Framework is being developed. This framework will provide clear guidance to managers on legal obligations and best practices, supporting staff inclusively across a variety of scenarios. Development will be carried out in partnership with People Services, the Equality, Diversity &amp; Inclusion (EDI) team, and relevant staff networks, with completion aimed for </w:t>
      </w:r>
      <w:r w:rsidR="00535CF2">
        <w:rPr>
          <w:rFonts w:ascii="Aptos" w:hAnsi="Aptos" w:cs="Arial"/>
        </w:rPr>
        <w:t>Q3</w:t>
      </w:r>
      <w:r w:rsidR="00535CF2" w:rsidRPr="00F057FA">
        <w:rPr>
          <w:rFonts w:ascii="Aptos" w:hAnsi="Aptos" w:cs="Arial"/>
        </w:rPr>
        <w:t xml:space="preserve"> </w:t>
      </w:r>
      <w:r w:rsidRPr="00F057FA">
        <w:rPr>
          <w:rFonts w:ascii="Aptos" w:hAnsi="Aptos" w:cs="Arial"/>
        </w:rPr>
        <w:t>2025.</w:t>
      </w:r>
    </w:p>
    <w:p w14:paraId="05AC9158" w14:textId="77777777" w:rsidR="003533B1" w:rsidRPr="00F057FA" w:rsidRDefault="003533B1" w:rsidP="00F057FA">
      <w:pPr>
        <w:pStyle w:val="NormalWeb"/>
        <w:numPr>
          <w:ilvl w:val="0"/>
          <w:numId w:val="40"/>
        </w:numPr>
        <w:spacing w:before="0" w:beforeAutospacing="0" w:after="0" w:afterAutospacing="0"/>
        <w:rPr>
          <w:rFonts w:ascii="Aptos" w:hAnsi="Aptos" w:cs="Arial"/>
        </w:rPr>
      </w:pPr>
      <w:r w:rsidRPr="00F057FA">
        <w:rPr>
          <w:rStyle w:val="Strong"/>
          <w:rFonts w:ascii="Aptos" w:eastAsiaTheme="majorEastAsia" w:hAnsi="Aptos" w:cs="Arial"/>
        </w:rPr>
        <w:t>Focus Groups to Identify Barriers and Solutions</w:t>
      </w:r>
      <w:r w:rsidRPr="00F057FA">
        <w:rPr>
          <w:rFonts w:ascii="Aptos" w:hAnsi="Aptos" w:cs="Arial"/>
        </w:rPr>
        <w:br/>
        <w:t>To deepen understanding of challenges related to reasonable adjustments, focus groups involving key managers and staff will be facilitated by the Disability &amp; Long-term Health Conditions Network, supported by the People Engagement &amp; Experience team. Insights gained will inform tailored interventions designed to improve support and foster positive cultural change.</w:t>
      </w:r>
    </w:p>
    <w:p w14:paraId="48507DA3" w14:textId="461CDFAF" w:rsidR="003533B1" w:rsidRPr="00F057FA" w:rsidRDefault="003533B1" w:rsidP="00F057FA">
      <w:pPr>
        <w:pStyle w:val="NormalWeb"/>
        <w:numPr>
          <w:ilvl w:val="0"/>
          <w:numId w:val="40"/>
        </w:numPr>
        <w:spacing w:before="0" w:beforeAutospacing="0" w:after="0" w:afterAutospacing="0"/>
        <w:rPr>
          <w:rFonts w:ascii="Aptos" w:hAnsi="Aptos" w:cs="Arial"/>
        </w:rPr>
      </w:pPr>
      <w:r w:rsidRPr="00F057FA">
        <w:rPr>
          <w:rStyle w:val="Strong"/>
          <w:rFonts w:ascii="Aptos" w:eastAsiaTheme="majorEastAsia" w:hAnsi="Aptos" w:cs="Arial"/>
        </w:rPr>
        <w:t>ARC Leadership Training on Reasonable Adjustments</w:t>
      </w:r>
      <w:r w:rsidRPr="00F057FA">
        <w:rPr>
          <w:rFonts w:ascii="Aptos" w:hAnsi="Aptos" w:cs="Arial"/>
        </w:rPr>
        <w:br/>
        <w:t>As part of the Wellbeing module within the ARC leadership development programme, targeted training on the requirements and implementation of reasonable adjustments for managers will be introduced. This training was launched in July 2025.</w:t>
      </w:r>
    </w:p>
    <w:p w14:paraId="52F0B78C" w14:textId="77777777" w:rsidR="003533B1" w:rsidRPr="00F057FA" w:rsidRDefault="003533B1" w:rsidP="00F057FA">
      <w:pPr>
        <w:pStyle w:val="NormalWeb"/>
        <w:numPr>
          <w:ilvl w:val="0"/>
          <w:numId w:val="40"/>
        </w:numPr>
        <w:spacing w:before="0" w:beforeAutospacing="0" w:after="0" w:afterAutospacing="0"/>
        <w:rPr>
          <w:rFonts w:ascii="Aptos" w:hAnsi="Aptos" w:cs="Arial"/>
        </w:rPr>
      </w:pPr>
      <w:r w:rsidRPr="00F057FA">
        <w:rPr>
          <w:rStyle w:val="Strong"/>
          <w:rFonts w:ascii="Aptos" w:eastAsiaTheme="majorEastAsia" w:hAnsi="Aptos" w:cs="Arial"/>
        </w:rPr>
        <w:t>Joint Briefing and Targeted Communications</w:t>
      </w:r>
      <w:r w:rsidRPr="00F057FA">
        <w:rPr>
          <w:rFonts w:ascii="Aptos" w:hAnsi="Aptos" w:cs="Arial"/>
        </w:rPr>
        <w:br/>
        <w:t>Complementing the training efforts, concise and accessible briefing materials and communications will be developed to raise awareness of different disabilities and enhance understanding of reasonable adjustments. This initiative is being led by the Disability &amp; Long-term Health Conditions Network.</w:t>
      </w:r>
    </w:p>
    <w:p w14:paraId="08F95276" w14:textId="38E08DCC" w:rsidR="004A48FF" w:rsidRPr="00F057FA" w:rsidRDefault="003533B1" w:rsidP="00F057FA">
      <w:pPr>
        <w:pStyle w:val="NormalWeb"/>
        <w:numPr>
          <w:ilvl w:val="0"/>
          <w:numId w:val="40"/>
        </w:numPr>
        <w:spacing w:before="0" w:beforeAutospacing="0" w:after="0" w:afterAutospacing="0"/>
        <w:rPr>
          <w:rFonts w:ascii="Aptos" w:hAnsi="Aptos"/>
        </w:rPr>
      </w:pPr>
      <w:r w:rsidRPr="00F057FA">
        <w:rPr>
          <w:rStyle w:val="Strong"/>
          <w:rFonts w:ascii="Aptos" w:eastAsiaTheme="majorEastAsia" w:hAnsi="Aptos" w:cs="Arial"/>
        </w:rPr>
        <w:t>Centralised Oversight and Funding Pathways</w:t>
      </w:r>
      <w:r w:rsidRPr="00F057FA">
        <w:rPr>
          <w:rFonts w:ascii="Aptos" w:hAnsi="Aptos" w:cs="Arial"/>
        </w:rPr>
        <w:br/>
        <w:t>Recognising delays in accessing funding through the Access to Work scheme, we are exploring options for centralised support of certain adjustments. This approach aims to identify alternative solutions that expedite access to necessary resources and mitigate funding-related challenges</w:t>
      </w:r>
      <w:r w:rsidRPr="00F057FA">
        <w:rPr>
          <w:rFonts w:ascii="Aptos" w:hAnsi="Aptos"/>
        </w:rPr>
        <w:t>.</w:t>
      </w:r>
    </w:p>
    <w:p w14:paraId="5A80F6C6" w14:textId="77777777" w:rsidR="00535CF2" w:rsidRDefault="00535CF2" w:rsidP="00F057FA">
      <w:pPr>
        <w:spacing w:after="0" w:line="240" w:lineRule="auto"/>
        <w:rPr>
          <w:rFonts w:ascii="Aptos" w:eastAsia="Times New Roman" w:hAnsi="Aptos" w:cs="Arial"/>
          <w:b/>
          <w:bCs/>
          <w:kern w:val="0"/>
          <w:lang w:eastAsia="en-GB"/>
          <w14:ligatures w14:val="none"/>
        </w:rPr>
      </w:pPr>
    </w:p>
    <w:p w14:paraId="5FDD2ED0" w14:textId="57D9D303" w:rsidR="004A48FF" w:rsidRDefault="004A48FF" w:rsidP="00F057FA">
      <w:pPr>
        <w:spacing w:after="0" w:line="240" w:lineRule="auto"/>
        <w:rPr>
          <w:rFonts w:ascii="Aptos" w:eastAsia="Times New Roman" w:hAnsi="Aptos" w:cs="Times New Roman"/>
          <w:kern w:val="0"/>
          <w:lang w:eastAsia="en-GB"/>
          <w14:ligatures w14:val="none"/>
        </w:rPr>
      </w:pPr>
      <w:r w:rsidRPr="00F057FA">
        <w:rPr>
          <w:rFonts w:ascii="Aptos" w:eastAsia="Times New Roman" w:hAnsi="Aptos" w:cs="Arial"/>
          <w:b/>
          <w:bCs/>
          <w:kern w:val="0"/>
          <w:lang w:eastAsia="en-GB"/>
          <w14:ligatures w14:val="none"/>
        </w:rPr>
        <w:t>Summary / Next Steps:</w:t>
      </w:r>
      <w:r w:rsidRPr="00F057FA">
        <w:rPr>
          <w:rFonts w:ascii="Aptos" w:eastAsia="Times New Roman" w:hAnsi="Aptos" w:cs="Arial"/>
          <w:kern w:val="0"/>
          <w:lang w:eastAsia="en-GB"/>
          <w14:ligatures w14:val="none"/>
        </w:rPr>
        <w:br/>
        <w:t xml:space="preserve">This work represents a significant step toward embedding inclusive practices across the organisation. Key milestones are scheduled through </w:t>
      </w:r>
      <w:r w:rsidRPr="00F057FA">
        <w:rPr>
          <w:rFonts w:ascii="Aptos" w:eastAsia="Times New Roman" w:hAnsi="Aptos" w:cs="Arial"/>
          <w:b/>
          <w:bCs/>
          <w:kern w:val="0"/>
          <w:lang w:eastAsia="en-GB"/>
          <w14:ligatures w14:val="none"/>
        </w:rPr>
        <w:t>Q3 2025</w:t>
      </w:r>
      <w:r w:rsidRPr="00F057FA">
        <w:rPr>
          <w:rFonts w:ascii="Aptos" w:eastAsia="Times New Roman" w:hAnsi="Aptos" w:cs="Arial"/>
          <w:kern w:val="0"/>
          <w:lang w:eastAsia="en-GB"/>
          <w14:ligatures w14:val="none"/>
        </w:rPr>
        <w:t>, with cross-functional collaboration ensuring both compliance and culture change. Board oversight and support will be critical to sustaining progress and ensuring organisational accountability</w:t>
      </w:r>
      <w:r w:rsidRPr="00F057FA">
        <w:rPr>
          <w:rFonts w:ascii="Aptos" w:eastAsia="Times New Roman" w:hAnsi="Aptos" w:cs="Times New Roman"/>
          <w:kern w:val="0"/>
          <w:lang w:eastAsia="en-GB"/>
          <w14:ligatures w14:val="none"/>
        </w:rPr>
        <w:t>.</w:t>
      </w:r>
    </w:p>
    <w:p w14:paraId="6CB65CBB" w14:textId="77777777" w:rsidR="004A311D" w:rsidRDefault="004A311D" w:rsidP="00F057FA">
      <w:pPr>
        <w:spacing w:after="0" w:line="240" w:lineRule="auto"/>
        <w:rPr>
          <w:rFonts w:ascii="Aptos" w:eastAsia="Times New Roman" w:hAnsi="Aptos" w:cs="Times New Roman"/>
          <w:kern w:val="0"/>
          <w:lang w:eastAsia="en-GB"/>
          <w14:ligatures w14:val="none"/>
        </w:rPr>
      </w:pPr>
    </w:p>
    <w:p w14:paraId="4DFC4440" w14:textId="2494383C" w:rsidR="004A311D" w:rsidRDefault="004A311D" w:rsidP="00F057FA">
      <w:p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Looking ahead to 2025/26, the Trust People Committee in March agreed to focus on the  delivery of the following People Priorities for 2025/26.</w:t>
      </w:r>
    </w:p>
    <w:p w14:paraId="00A10241" w14:textId="77777777" w:rsidR="004A311D" w:rsidRDefault="004A311D" w:rsidP="00F057FA">
      <w:pPr>
        <w:spacing w:after="0" w:line="240" w:lineRule="auto"/>
        <w:rPr>
          <w:rFonts w:ascii="Aptos" w:eastAsia="Times New Roman" w:hAnsi="Aptos" w:cs="Times New Roman"/>
          <w:kern w:val="0"/>
          <w:lang w:eastAsia="en-GB"/>
          <w14:ligatures w14:val="none"/>
        </w:rPr>
      </w:pPr>
    </w:p>
    <w:p w14:paraId="26F1305E" w14:textId="1D4A7A02" w:rsidR="004A311D" w:rsidRDefault="004A311D" w:rsidP="004A311D">
      <w:pPr>
        <w:pStyle w:val="ListParagraph"/>
        <w:numPr>
          <w:ilvl w:val="0"/>
          <w:numId w:val="45"/>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Improve Staff Engagement Score</w:t>
      </w:r>
    </w:p>
    <w:p w14:paraId="29474D45" w14:textId="503C8116" w:rsidR="004A311D" w:rsidRDefault="004A311D" w:rsidP="004A311D">
      <w:pPr>
        <w:pStyle w:val="ListParagraph"/>
        <w:numPr>
          <w:ilvl w:val="0"/>
          <w:numId w:val="46"/>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 xml:space="preserve">Deliver sustained improvements across all NHS People Promises </w:t>
      </w:r>
    </w:p>
    <w:p w14:paraId="4F27EFA2" w14:textId="0FC7A024" w:rsidR="004A311D" w:rsidRDefault="004A311D" w:rsidP="004A311D">
      <w:pPr>
        <w:pStyle w:val="ListParagraph"/>
        <w:numPr>
          <w:ilvl w:val="0"/>
          <w:numId w:val="45"/>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Increase Representational Leadership</w:t>
      </w:r>
    </w:p>
    <w:p w14:paraId="32B87A5D" w14:textId="1A7356AB" w:rsidR="004A311D" w:rsidRDefault="004A311D" w:rsidP="004A311D">
      <w:pPr>
        <w:pStyle w:val="ListParagraph"/>
        <w:numPr>
          <w:ilvl w:val="0"/>
          <w:numId w:val="46"/>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 xml:space="preserve">Implement national EDI high- impact actions </w:t>
      </w:r>
    </w:p>
    <w:p w14:paraId="227AADE9" w14:textId="3BF39BBB" w:rsidR="004A311D" w:rsidRDefault="004A311D" w:rsidP="004A311D">
      <w:pPr>
        <w:pStyle w:val="ListParagraph"/>
        <w:numPr>
          <w:ilvl w:val="0"/>
          <w:numId w:val="46"/>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 xml:space="preserve">Drive </w:t>
      </w:r>
      <w:r w:rsidR="00003EB7">
        <w:rPr>
          <w:rFonts w:ascii="Aptos" w:eastAsia="Times New Roman" w:hAnsi="Aptos" w:cs="Times New Roman"/>
          <w:kern w:val="0"/>
          <w:lang w:eastAsia="en-GB"/>
          <w14:ligatures w14:val="none"/>
        </w:rPr>
        <w:t>further improvements in the Trust’s WRES and WDES outcomes</w:t>
      </w:r>
    </w:p>
    <w:p w14:paraId="5D35E1AF" w14:textId="7D3BB9CA" w:rsidR="00003EB7" w:rsidRPr="003121DF" w:rsidRDefault="00003EB7" w:rsidP="003121DF">
      <w:pPr>
        <w:pStyle w:val="ListParagraph"/>
        <w:numPr>
          <w:ilvl w:val="0"/>
          <w:numId w:val="45"/>
        </w:numPr>
        <w:spacing w:after="0" w:line="240" w:lineRule="auto"/>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 xml:space="preserve"> Optimise workforce productivity</w:t>
      </w:r>
    </w:p>
    <w:p w14:paraId="2189E10D" w14:textId="6A206EED" w:rsidR="00535CF2" w:rsidRPr="00BF1F97" w:rsidRDefault="00535CF2" w:rsidP="003121DF">
      <w:pPr>
        <w:spacing w:after="0" w:line="240" w:lineRule="auto"/>
        <w:rPr>
          <w:rFonts w:ascii="Aptos" w:eastAsia="Times New Roman" w:hAnsi="Aptos" w:cs="Times New Roman"/>
          <w:lang w:eastAsia="en-GB"/>
        </w:rPr>
      </w:pPr>
    </w:p>
    <w:p w14:paraId="418B7987" w14:textId="77777777" w:rsidR="00535CF2" w:rsidRPr="00BF1F97" w:rsidRDefault="00535CF2" w:rsidP="00535CF2">
      <w:pPr>
        <w:spacing w:after="0" w:line="240" w:lineRule="auto"/>
        <w:rPr>
          <w:rFonts w:ascii="Aptos" w:hAnsi="Aptos"/>
          <w:i/>
          <w:iCs/>
        </w:rPr>
      </w:pPr>
      <w:r w:rsidRPr="00BF1F97">
        <w:rPr>
          <w:rFonts w:ascii="Aptos" w:eastAsia="Times New Roman" w:hAnsi="Aptos" w:cs="Times New Roman"/>
          <w:lang w:eastAsia="en-GB"/>
        </w:rPr>
        <w:lastRenderedPageBreak/>
        <w:t xml:space="preserve">These priorities are being  </w:t>
      </w:r>
      <w:r w:rsidRPr="00BF1F97">
        <w:rPr>
          <w:rFonts w:ascii="Aptos" w:hAnsi="Aptos" w:cstheme="minorHAnsi"/>
        </w:rPr>
        <w:t>delivered at 4 levels</w:t>
      </w:r>
      <w:r>
        <w:rPr>
          <w:rFonts w:ascii="Aptos" w:hAnsi="Aptos" w:cstheme="minorHAnsi"/>
        </w:rPr>
        <w:t xml:space="preserve"> (Fig1) </w:t>
      </w:r>
      <w:r w:rsidRPr="00BF1F97">
        <w:rPr>
          <w:rFonts w:ascii="Aptos" w:hAnsi="Aptos" w:cstheme="minorHAnsi"/>
        </w:rPr>
        <w:t>: (1) Leadership (2) Teams (3) Individuals and (4) Organisation wide:</w:t>
      </w:r>
    </w:p>
    <w:p w14:paraId="1EC206AA" w14:textId="77777777" w:rsidR="00535CF2" w:rsidRPr="00BF1F97" w:rsidRDefault="00535CF2" w:rsidP="00535CF2">
      <w:pPr>
        <w:numPr>
          <w:ilvl w:val="0"/>
          <w:numId w:val="43"/>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Leadership: Strengthen leadership capability and accountability.</w:t>
      </w:r>
    </w:p>
    <w:p w14:paraId="14865A56" w14:textId="21F7A878" w:rsidR="00535CF2" w:rsidRPr="00BF1F97" w:rsidRDefault="00535CF2" w:rsidP="00535CF2">
      <w:pPr>
        <w:numPr>
          <w:ilvl w:val="0"/>
          <w:numId w:val="43"/>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 xml:space="preserve">Teams: Build </w:t>
      </w:r>
      <w:r w:rsidR="00003EB7" w:rsidRPr="00BF1F97">
        <w:rPr>
          <w:rFonts w:ascii="Aptos" w:eastAsia="Times New Roman" w:hAnsi="Aptos" w:cs="Times New Roman"/>
          <w:lang w:eastAsia="en-GB"/>
        </w:rPr>
        <w:t>high performing</w:t>
      </w:r>
      <w:r w:rsidRPr="00BF1F97">
        <w:rPr>
          <w:rFonts w:ascii="Aptos" w:eastAsia="Times New Roman" w:hAnsi="Aptos" w:cs="Times New Roman"/>
          <w:lang w:eastAsia="en-GB"/>
        </w:rPr>
        <w:t>, engaged teams.</w:t>
      </w:r>
    </w:p>
    <w:p w14:paraId="01446006" w14:textId="77777777" w:rsidR="00535CF2" w:rsidRPr="00BF1F97" w:rsidRDefault="00535CF2" w:rsidP="00535CF2">
      <w:pPr>
        <w:numPr>
          <w:ilvl w:val="0"/>
          <w:numId w:val="43"/>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Individuals: Empower colleagues to own and shape their experience.</w:t>
      </w:r>
    </w:p>
    <w:p w14:paraId="3724844C" w14:textId="77777777" w:rsidR="00535CF2" w:rsidRPr="00BF1F97" w:rsidRDefault="00535CF2" w:rsidP="00535CF2">
      <w:pPr>
        <w:numPr>
          <w:ilvl w:val="0"/>
          <w:numId w:val="43"/>
        </w:num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Organisation-wide: Systematically embed improvements across policies, systems, and culture.</w:t>
      </w:r>
    </w:p>
    <w:p w14:paraId="0EF42158" w14:textId="77777777" w:rsidR="00535CF2" w:rsidRPr="00BF1F97" w:rsidRDefault="00535CF2" w:rsidP="00535CF2">
      <w:pPr>
        <w:spacing w:after="0" w:line="240" w:lineRule="auto"/>
        <w:rPr>
          <w:rFonts w:ascii="Aptos" w:eastAsia="Times New Roman" w:hAnsi="Aptos" w:cs="Times New Roman"/>
          <w:lang w:eastAsia="en-GB"/>
        </w:rPr>
      </w:pPr>
      <w:r w:rsidRPr="00BF1F97">
        <w:rPr>
          <w:rFonts w:ascii="Aptos" w:eastAsia="Times New Roman" w:hAnsi="Aptos" w:cs="Times New Roman"/>
          <w:lang w:eastAsia="en-GB"/>
        </w:rPr>
        <w:t xml:space="preserve">(Figure </w:t>
      </w:r>
      <w:r>
        <w:rPr>
          <w:rFonts w:ascii="Aptos" w:eastAsia="Times New Roman" w:hAnsi="Aptos" w:cs="Times New Roman"/>
          <w:lang w:eastAsia="en-GB"/>
        </w:rPr>
        <w:t>2</w:t>
      </w:r>
      <w:r w:rsidRPr="00BF1F97">
        <w:rPr>
          <w:rFonts w:ascii="Aptos" w:eastAsia="Times New Roman" w:hAnsi="Aptos" w:cs="Times New Roman"/>
          <w:lang w:eastAsia="en-GB"/>
        </w:rPr>
        <w:t xml:space="preserve"> </w:t>
      </w:r>
      <w:r>
        <w:rPr>
          <w:rFonts w:ascii="Aptos" w:eastAsia="Times New Roman" w:hAnsi="Aptos" w:cs="Times New Roman"/>
          <w:lang w:eastAsia="en-GB"/>
        </w:rPr>
        <w:t>)</w:t>
      </w:r>
    </w:p>
    <w:p w14:paraId="46AFE1B8" w14:textId="77777777" w:rsidR="00535CF2" w:rsidRPr="00BF1F97" w:rsidRDefault="00535CF2" w:rsidP="00535CF2">
      <w:pPr>
        <w:spacing w:after="0" w:line="240" w:lineRule="auto"/>
        <w:jc w:val="both"/>
        <w:rPr>
          <w:rFonts w:ascii="Aptos" w:eastAsia="Times New Roman" w:hAnsi="Aptos" w:cs="Times New Roman"/>
          <w:lang w:eastAsia="en-GB"/>
        </w:rPr>
      </w:pPr>
      <w:r w:rsidRPr="00BF1F97">
        <w:rPr>
          <w:rFonts w:ascii="Aptos" w:hAnsi="Aptos"/>
          <w:i/>
          <w:iCs/>
          <w:noProof/>
        </w:rPr>
        <w:drawing>
          <wp:inline distT="0" distB="0" distL="0" distR="0" wp14:anchorId="46EFB797" wp14:editId="468423E5">
            <wp:extent cx="5854700" cy="2844800"/>
            <wp:effectExtent l="0" t="0" r="0" b="0"/>
            <wp:docPr id="2038793739" name="Picture 22" descr="Figure 2: Looking ahead to 2025/26, the Trust People Committee in March agreed to focus on &#10;The delivery of the following People Priorities for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93739" name="Picture 22" descr="Figure 2: Looking ahead to 2025/26, the Trust People Committee in March agreed to focus on &#10;The delivery of the following People Priorities for 2025/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757" cy="2891960"/>
                    </a:xfrm>
                    <a:prstGeom prst="rect">
                      <a:avLst/>
                    </a:prstGeom>
                    <a:noFill/>
                  </pic:spPr>
                </pic:pic>
              </a:graphicData>
            </a:graphic>
          </wp:inline>
        </w:drawing>
      </w:r>
    </w:p>
    <w:p w14:paraId="647324E3" w14:textId="77777777" w:rsidR="00535CF2" w:rsidRPr="00BF1F97" w:rsidRDefault="00535CF2" w:rsidP="00535CF2">
      <w:pPr>
        <w:pStyle w:val="NoSpacing"/>
        <w:rPr>
          <w:rFonts w:ascii="Aptos" w:hAnsi="Aptos" w:cs="Calibri"/>
          <w:b/>
        </w:rPr>
      </w:pPr>
    </w:p>
    <w:p w14:paraId="305AF886" w14:textId="77777777" w:rsidR="00535CF2" w:rsidRPr="00BF1F97" w:rsidRDefault="00535CF2" w:rsidP="00535CF2">
      <w:pPr>
        <w:spacing w:after="0" w:line="240" w:lineRule="auto"/>
        <w:contextualSpacing/>
        <w:rPr>
          <w:rFonts w:ascii="Aptos" w:hAnsi="Aptos"/>
        </w:rPr>
      </w:pPr>
    </w:p>
    <w:p w14:paraId="2CFD0146" w14:textId="77777777" w:rsidR="00535CF2" w:rsidRPr="001C1754" w:rsidRDefault="00535CF2" w:rsidP="00535CF2">
      <w:pPr>
        <w:pStyle w:val="NormalWeb"/>
        <w:spacing w:before="0" w:beforeAutospacing="0" w:after="0" w:afterAutospacing="0"/>
        <w:rPr>
          <w:rFonts w:ascii="Aptos" w:hAnsi="Aptos" w:cs="Arial"/>
        </w:rPr>
      </w:pPr>
      <w:r>
        <w:rPr>
          <w:rFonts w:ascii="Aptos" w:hAnsi="Aptos" w:cs="Arial"/>
        </w:rPr>
        <w:t xml:space="preserve">We will through this programme of work also continue to embed </w:t>
      </w:r>
      <w:r w:rsidRPr="001C1754">
        <w:rPr>
          <w:rFonts w:ascii="Aptos" w:hAnsi="Aptos" w:cs="Arial"/>
        </w:rPr>
        <w:t xml:space="preserve">the following Four high-impact actions </w:t>
      </w:r>
      <w:r>
        <w:rPr>
          <w:rFonts w:ascii="Aptos" w:hAnsi="Aptos" w:cs="Arial"/>
        </w:rPr>
        <w:t xml:space="preserve"> introduced in 2024 </w:t>
      </w:r>
      <w:r w:rsidRPr="001C1754">
        <w:rPr>
          <w:rFonts w:ascii="Aptos" w:hAnsi="Aptos" w:cs="Arial"/>
        </w:rPr>
        <w:t>to drive further progress:</w:t>
      </w:r>
    </w:p>
    <w:p w14:paraId="0126B70C" w14:textId="77777777" w:rsidR="00535CF2" w:rsidRPr="001C1754" w:rsidRDefault="00535CF2" w:rsidP="00535CF2">
      <w:pPr>
        <w:pStyle w:val="NormalWeb"/>
        <w:numPr>
          <w:ilvl w:val="0"/>
          <w:numId w:val="41"/>
        </w:numPr>
        <w:spacing w:before="0" w:beforeAutospacing="0" w:after="0" w:afterAutospacing="0"/>
        <w:rPr>
          <w:rFonts w:ascii="Aptos" w:hAnsi="Aptos" w:cs="Arial"/>
        </w:rPr>
      </w:pPr>
      <w:r w:rsidRPr="001C1754">
        <w:rPr>
          <w:rStyle w:val="Strong"/>
          <w:rFonts w:ascii="Aptos" w:eastAsiaTheme="majorEastAsia" w:hAnsi="Aptos" w:cs="Arial"/>
        </w:rPr>
        <w:t>Empower, equip, and enable Staff Networks</w:t>
      </w:r>
    </w:p>
    <w:p w14:paraId="4548E7F4" w14:textId="77777777" w:rsidR="00535CF2" w:rsidRPr="001C1754" w:rsidRDefault="00535CF2" w:rsidP="00535CF2">
      <w:pPr>
        <w:pStyle w:val="NormalWeb"/>
        <w:numPr>
          <w:ilvl w:val="0"/>
          <w:numId w:val="41"/>
        </w:numPr>
        <w:spacing w:before="0" w:beforeAutospacing="0" w:after="0" w:afterAutospacing="0"/>
        <w:rPr>
          <w:rFonts w:ascii="Aptos" w:hAnsi="Aptos" w:cs="Arial"/>
        </w:rPr>
      </w:pPr>
      <w:r w:rsidRPr="001C1754">
        <w:rPr>
          <w:rStyle w:val="Strong"/>
          <w:rFonts w:ascii="Aptos" w:eastAsiaTheme="majorEastAsia" w:hAnsi="Aptos" w:cs="Arial"/>
        </w:rPr>
        <w:t>Optimise the role and function of the EDI Team within the Trust</w:t>
      </w:r>
    </w:p>
    <w:p w14:paraId="18F75602" w14:textId="77777777" w:rsidR="00535CF2" w:rsidRPr="001C1754" w:rsidRDefault="00535CF2" w:rsidP="00535CF2">
      <w:pPr>
        <w:pStyle w:val="NormalWeb"/>
        <w:numPr>
          <w:ilvl w:val="0"/>
          <w:numId w:val="41"/>
        </w:numPr>
        <w:spacing w:before="0" w:beforeAutospacing="0" w:after="0" w:afterAutospacing="0"/>
        <w:rPr>
          <w:rFonts w:ascii="Aptos" w:hAnsi="Aptos" w:cs="Arial"/>
        </w:rPr>
      </w:pPr>
      <w:r w:rsidRPr="001C1754">
        <w:rPr>
          <w:rStyle w:val="Strong"/>
          <w:rFonts w:ascii="Aptos" w:eastAsiaTheme="majorEastAsia" w:hAnsi="Aptos" w:cs="Arial"/>
        </w:rPr>
        <w:t>Deliver and embed a robust framework for inclusive recruitment</w:t>
      </w:r>
    </w:p>
    <w:p w14:paraId="63AB4BEA" w14:textId="77777777" w:rsidR="00535CF2" w:rsidRPr="001C1754" w:rsidRDefault="00535CF2" w:rsidP="00535CF2">
      <w:pPr>
        <w:pStyle w:val="NormalWeb"/>
        <w:numPr>
          <w:ilvl w:val="0"/>
          <w:numId w:val="41"/>
        </w:numPr>
        <w:spacing w:before="0" w:beforeAutospacing="0" w:after="0" w:afterAutospacing="0"/>
        <w:rPr>
          <w:rFonts w:ascii="Aptos" w:hAnsi="Aptos" w:cs="Arial"/>
        </w:rPr>
      </w:pPr>
      <w:r w:rsidRPr="001C1754">
        <w:rPr>
          <w:rStyle w:val="Strong"/>
          <w:rFonts w:ascii="Aptos" w:eastAsiaTheme="majorEastAsia" w:hAnsi="Aptos" w:cs="Arial"/>
        </w:rPr>
        <w:t>Launch a SWB Inclusive Talent Management Programme</w:t>
      </w:r>
    </w:p>
    <w:p w14:paraId="3D8C2AE5" w14:textId="77777777" w:rsidR="00535CF2" w:rsidRPr="001C1754" w:rsidRDefault="00535CF2" w:rsidP="00535CF2">
      <w:pPr>
        <w:spacing w:after="0" w:line="240" w:lineRule="auto"/>
        <w:rPr>
          <w:rFonts w:ascii="Aptos" w:hAnsi="Aptos" w:cs="Arial"/>
        </w:rPr>
      </w:pPr>
    </w:p>
    <w:p w14:paraId="455679B1" w14:textId="77777777" w:rsidR="00535CF2" w:rsidRPr="001C1754" w:rsidRDefault="00535CF2" w:rsidP="00535CF2">
      <w:pPr>
        <w:spacing w:after="0" w:line="240" w:lineRule="auto"/>
        <w:rPr>
          <w:rFonts w:ascii="Aptos" w:hAnsi="Aptos" w:cs="Arial"/>
        </w:rPr>
      </w:pPr>
    </w:p>
    <w:p w14:paraId="218767B9" w14:textId="77777777" w:rsidR="00535CF2" w:rsidRPr="001C1754" w:rsidRDefault="00535CF2" w:rsidP="00535CF2">
      <w:pPr>
        <w:spacing w:after="0" w:line="240" w:lineRule="auto"/>
        <w:rPr>
          <w:rFonts w:ascii="Aptos" w:hAnsi="Aptos" w:cs="Arial"/>
        </w:rPr>
      </w:pPr>
    </w:p>
    <w:p w14:paraId="62A2F7AD" w14:textId="77777777" w:rsidR="00535CF2" w:rsidRPr="001C1754" w:rsidRDefault="00535CF2" w:rsidP="00535CF2">
      <w:pPr>
        <w:spacing w:after="0" w:line="240" w:lineRule="auto"/>
        <w:rPr>
          <w:rFonts w:ascii="Aptos" w:hAnsi="Aptos" w:cs="Arial"/>
        </w:rPr>
      </w:pPr>
    </w:p>
    <w:p w14:paraId="21048F07" w14:textId="77777777" w:rsidR="00535CF2" w:rsidRPr="001C1754" w:rsidRDefault="00535CF2" w:rsidP="00535CF2">
      <w:pPr>
        <w:spacing w:after="0" w:line="240" w:lineRule="auto"/>
        <w:rPr>
          <w:rFonts w:ascii="Aptos" w:hAnsi="Aptos" w:cs="Arial"/>
        </w:rPr>
      </w:pPr>
    </w:p>
    <w:p w14:paraId="42E3D27C" w14:textId="77777777" w:rsidR="008519B6" w:rsidRPr="00F057FA" w:rsidRDefault="008519B6" w:rsidP="00F057FA">
      <w:pPr>
        <w:shd w:val="clear" w:color="auto" w:fill="FFFFFF" w:themeFill="background1"/>
        <w:spacing w:after="0" w:line="240" w:lineRule="auto"/>
        <w:rPr>
          <w:rFonts w:ascii="Aptos" w:hAnsi="Aptos"/>
        </w:rPr>
      </w:pPr>
    </w:p>
    <w:p w14:paraId="390EADA6" w14:textId="77777777" w:rsidR="008519B6" w:rsidRPr="00F057FA" w:rsidRDefault="008519B6" w:rsidP="00F057FA">
      <w:pPr>
        <w:shd w:val="clear" w:color="auto" w:fill="FFFFFF" w:themeFill="background1"/>
        <w:spacing w:after="0" w:line="240" w:lineRule="auto"/>
        <w:rPr>
          <w:rFonts w:ascii="Aptos" w:hAnsi="Aptos"/>
        </w:rPr>
      </w:pPr>
    </w:p>
    <w:p w14:paraId="0328818A" w14:textId="77777777" w:rsidR="008519B6" w:rsidRPr="00F057FA" w:rsidRDefault="008519B6" w:rsidP="00F057FA">
      <w:pPr>
        <w:shd w:val="clear" w:color="auto" w:fill="FFFFFF" w:themeFill="background1"/>
        <w:spacing w:after="0" w:line="240" w:lineRule="auto"/>
        <w:rPr>
          <w:rFonts w:ascii="Aptos" w:hAnsi="Aptos"/>
        </w:rPr>
      </w:pPr>
    </w:p>
    <w:p w14:paraId="243F55F1" w14:textId="77777777" w:rsidR="008519B6" w:rsidRPr="00F057FA" w:rsidRDefault="008519B6" w:rsidP="00F057FA">
      <w:pPr>
        <w:spacing w:after="0" w:line="240" w:lineRule="auto"/>
        <w:rPr>
          <w:rFonts w:ascii="Aptos" w:hAnsi="Aptos"/>
        </w:rPr>
      </w:pPr>
    </w:p>
    <w:sectPr w:rsidR="008519B6" w:rsidRPr="00F057FA">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231D8" w14:textId="77777777" w:rsidR="008D190F" w:rsidRDefault="008D190F" w:rsidP="004A48FF">
      <w:pPr>
        <w:spacing w:after="0" w:line="240" w:lineRule="auto"/>
      </w:pPr>
      <w:r>
        <w:separator/>
      </w:r>
    </w:p>
  </w:endnote>
  <w:endnote w:type="continuationSeparator" w:id="0">
    <w:p w14:paraId="7A2C2142" w14:textId="77777777" w:rsidR="008D190F" w:rsidRDefault="008D190F" w:rsidP="004A4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935140"/>
      <w:docPartObj>
        <w:docPartGallery w:val="Page Numbers (Bottom of Page)"/>
        <w:docPartUnique/>
      </w:docPartObj>
    </w:sdtPr>
    <w:sdtEndPr>
      <w:rPr>
        <w:noProof/>
      </w:rPr>
    </w:sdtEndPr>
    <w:sdtContent>
      <w:p w14:paraId="10F910B9" w14:textId="7B974893" w:rsidR="007E6375" w:rsidRDefault="007E6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5204D" w14:textId="77777777" w:rsidR="007E6375" w:rsidRDefault="007E6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4FCC0" w14:textId="77777777" w:rsidR="008D190F" w:rsidRDefault="008D190F" w:rsidP="004A48FF">
      <w:pPr>
        <w:spacing w:after="0" w:line="240" w:lineRule="auto"/>
      </w:pPr>
      <w:r>
        <w:separator/>
      </w:r>
    </w:p>
  </w:footnote>
  <w:footnote w:type="continuationSeparator" w:id="0">
    <w:p w14:paraId="52858AA2" w14:textId="77777777" w:rsidR="008D190F" w:rsidRDefault="008D190F" w:rsidP="004A4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579"/>
    <w:multiLevelType w:val="hybridMultilevel"/>
    <w:tmpl w:val="5C2C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FB8AE"/>
    <w:multiLevelType w:val="hybridMultilevel"/>
    <w:tmpl w:val="FFFFFFFF"/>
    <w:lvl w:ilvl="0" w:tplc="321EFD9C">
      <w:start w:val="1"/>
      <w:numFmt w:val="bullet"/>
      <w:lvlText w:val=""/>
      <w:lvlJc w:val="left"/>
      <w:pPr>
        <w:ind w:left="720" w:hanging="360"/>
      </w:pPr>
      <w:rPr>
        <w:rFonts w:ascii="Symbol" w:hAnsi="Symbol" w:hint="default"/>
      </w:rPr>
    </w:lvl>
    <w:lvl w:ilvl="1" w:tplc="E01884D8">
      <w:start w:val="1"/>
      <w:numFmt w:val="bullet"/>
      <w:lvlText w:val="o"/>
      <w:lvlJc w:val="left"/>
      <w:pPr>
        <w:ind w:left="1440" w:hanging="360"/>
      </w:pPr>
      <w:rPr>
        <w:rFonts w:ascii="Courier New" w:hAnsi="Courier New" w:hint="default"/>
      </w:rPr>
    </w:lvl>
    <w:lvl w:ilvl="2" w:tplc="DF6259EA">
      <w:start w:val="1"/>
      <w:numFmt w:val="bullet"/>
      <w:lvlText w:val=""/>
      <w:lvlJc w:val="left"/>
      <w:pPr>
        <w:ind w:left="2160" w:hanging="360"/>
      </w:pPr>
      <w:rPr>
        <w:rFonts w:ascii="Wingdings" w:hAnsi="Wingdings" w:hint="default"/>
      </w:rPr>
    </w:lvl>
    <w:lvl w:ilvl="3" w:tplc="ED207BF0">
      <w:start w:val="1"/>
      <w:numFmt w:val="bullet"/>
      <w:lvlText w:val=""/>
      <w:lvlJc w:val="left"/>
      <w:pPr>
        <w:ind w:left="2880" w:hanging="360"/>
      </w:pPr>
      <w:rPr>
        <w:rFonts w:ascii="Symbol" w:hAnsi="Symbol" w:hint="default"/>
      </w:rPr>
    </w:lvl>
    <w:lvl w:ilvl="4" w:tplc="1DDA79EE">
      <w:start w:val="1"/>
      <w:numFmt w:val="bullet"/>
      <w:lvlText w:val="o"/>
      <w:lvlJc w:val="left"/>
      <w:pPr>
        <w:ind w:left="3600" w:hanging="360"/>
      </w:pPr>
      <w:rPr>
        <w:rFonts w:ascii="Courier New" w:hAnsi="Courier New" w:hint="default"/>
      </w:rPr>
    </w:lvl>
    <w:lvl w:ilvl="5" w:tplc="3244D896">
      <w:start w:val="1"/>
      <w:numFmt w:val="bullet"/>
      <w:lvlText w:val=""/>
      <w:lvlJc w:val="left"/>
      <w:pPr>
        <w:ind w:left="4320" w:hanging="360"/>
      </w:pPr>
      <w:rPr>
        <w:rFonts w:ascii="Wingdings" w:hAnsi="Wingdings" w:hint="default"/>
      </w:rPr>
    </w:lvl>
    <w:lvl w:ilvl="6" w:tplc="A26223AC">
      <w:start w:val="1"/>
      <w:numFmt w:val="bullet"/>
      <w:lvlText w:val=""/>
      <w:lvlJc w:val="left"/>
      <w:pPr>
        <w:ind w:left="5040" w:hanging="360"/>
      </w:pPr>
      <w:rPr>
        <w:rFonts w:ascii="Symbol" w:hAnsi="Symbol" w:hint="default"/>
      </w:rPr>
    </w:lvl>
    <w:lvl w:ilvl="7" w:tplc="F2BCDACA">
      <w:start w:val="1"/>
      <w:numFmt w:val="bullet"/>
      <w:lvlText w:val="o"/>
      <w:lvlJc w:val="left"/>
      <w:pPr>
        <w:ind w:left="5760" w:hanging="360"/>
      </w:pPr>
      <w:rPr>
        <w:rFonts w:ascii="Courier New" w:hAnsi="Courier New" w:hint="default"/>
      </w:rPr>
    </w:lvl>
    <w:lvl w:ilvl="8" w:tplc="125484F2">
      <w:start w:val="1"/>
      <w:numFmt w:val="bullet"/>
      <w:lvlText w:val=""/>
      <w:lvlJc w:val="left"/>
      <w:pPr>
        <w:ind w:left="6480" w:hanging="360"/>
      </w:pPr>
      <w:rPr>
        <w:rFonts w:ascii="Wingdings" w:hAnsi="Wingdings" w:hint="default"/>
      </w:rPr>
    </w:lvl>
  </w:abstractNum>
  <w:abstractNum w:abstractNumId="2" w15:restartNumberingAfterBreak="0">
    <w:nsid w:val="08E57940"/>
    <w:multiLevelType w:val="multilevel"/>
    <w:tmpl w:val="D9C8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4492B"/>
    <w:multiLevelType w:val="hybridMultilevel"/>
    <w:tmpl w:val="153E5F2A"/>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0D44094B"/>
    <w:multiLevelType w:val="hybridMultilevel"/>
    <w:tmpl w:val="735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D175D"/>
    <w:multiLevelType w:val="multilevel"/>
    <w:tmpl w:val="09FE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FF9E6"/>
    <w:multiLevelType w:val="hybridMultilevel"/>
    <w:tmpl w:val="FFFFFFFF"/>
    <w:lvl w:ilvl="0" w:tplc="77D0C4C8">
      <w:start w:val="1"/>
      <w:numFmt w:val="bullet"/>
      <w:lvlText w:val=""/>
      <w:lvlJc w:val="left"/>
      <w:pPr>
        <w:ind w:left="720" w:hanging="360"/>
      </w:pPr>
      <w:rPr>
        <w:rFonts w:ascii="Symbol" w:hAnsi="Symbol" w:hint="default"/>
      </w:rPr>
    </w:lvl>
    <w:lvl w:ilvl="1" w:tplc="CFFA39AC">
      <w:start w:val="1"/>
      <w:numFmt w:val="bullet"/>
      <w:lvlText w:val="o"/>
      <w:lvlJc w:val="left"/>
      <w:pPr>
        <w:ind w:left="1440" w:hanging="360"/>
      </w:pPr>
      <w:rPr>
        <w:rFonts w:ascii="Courier New" w:hAnsi="Courier New" w:hint="default"/>
      </w:rPr>
    </w:lvl>
    <w:lvl w:ilvl="2" w:tplc="EF4858CC">
      <w:start w:val="1"/>
      <w:numFmt w:val="bullet"/>
      <w:lvlText w:val=""/>
      <w:lvlJc w:val="left"/>
      <w:pPr>
        <w:ind w:left="2160" w:hanging="360"/>
      </w:pPr>
      <w:rPr>
        <w:rFonts w:ascii="Wingdings" w:hAnsi="Wingdings" w:hint="default"/>
      </w:rPr>
    </w:lvl>
    <w:lvl w:ilvl="3" w:tplc="FD7C17A2">
      <w:start w:val="1"/>
      <w:numFmt w:val="bullet"/>
      <w:lvlText w:val=""/>
      <w:lvlJc w:val="left"/>
      <w:pPr>
        <w:ind w:left="2880" w:hanging="360"/>
      </w:pPr>
      <w:rPr>
        <w:rFonts w:ascii="Symbol" w:hAnsi="Symbol" w:hint="default"/>
      </w:rPr>
    </w:lvl>
    <w:lvl w:ilvl="4" w:tplc="F6247E46">
      <w:start w:val="1"/>
      <w:numFmt w:val="bullet"/>
      <w:lvlText w:val="o"/>
      <w:lvlJc w:val="left"/>
      <w:pPr>
        <w:ind w:left="3600" w:hanging="360"/>
      </w:pPr>
      <w:rPr>
        <w:rFonts w:ascii="Courier New" w:hAnsi="Courier New" w:hint="default"/>
      </w:rPr>
    </w:lvl>
    <w:lvl w:ilvl="5" w:tplc="BC7EBE14">
      <w:start w:val="1"/>
      <w:numFmt w:val="bullet"/>
      <w:lvlText w:val=""/>
      <w:lvlJc w:val="left"/>
      <w:pPr>
        <w:ind w:left="4320" w:hanging="360"/>
      </w:pPr>
      <w:rPr>
        <w:rFonts w:ascii="Wingdings" w:hAnsi="Wingdings" w:hint="default"/>
      </w:rPr>
    </w:lvl>
    <w:lvl w:ilvl="6" w:tplc="8E0CE7EE">
      <w:start w:val="1"/>
      <w:numFmt w:val="bullet"/>
      <w:lvlText w:val=""/>
      <w:lvlJc w:val="left"/>
      <w:pPr>
        <w:ind w:left="5040" w:hanging="360"/>
      </w:pPr>
      <w:rPr>
        <w:rFonts w:ascii="Symbol" w:hAnsi="Symbol" w:hint="default"/>
      </w:rPr>
    </w:lvl>
    <w:lvl w:ilvl="7" w:tplc="3468EDA0">
      <w:start w:val="1"/>
      <w:numFmt w:val="bullet"/>
      <w:lvlText w:val="o"/>
      <w:lvlJc w:val="left"/>
      <w:pPr>
        <w:ind w:left="5760" w:hanging="360"/>
      </w:pPr>
      <w:rPr>
        <w:rFonts w:ascii="Courier New" w:hAnsi="Courier New" w:hint="default"/>
      </w:rPr>
    </w:lvl>
    <w:lvl w:ilvl="8" w:tplc="D8745170">
      <w:start w:val="1"/>
      <w:numFmt w:val="bullet"/>
      <w:lvlText w:val=""/>
      <w:lvlJc w:val="left"/>
      <w:pPr>
        <w:ind w:left="6480" w:hanging="360"/>
      </w:pPr>
      <w:rPr>
        <w:rFonts w:ascii="Wingdings" w:hAnsi="Wingdings" w:hint="default"/>
      </w:rPr>
    </w:lvl>
  </w:abstractNum>
  <w:abstractNum w:abstractNumId="7" w15:restartNumberingAfterBreak="0">
    <w:nsid w:val="10B81FF5"/>
    <w:multiLevelType w:val="multilevel"/>
    <w:tmpl w:val="76E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96766"/>
    <w:multiLevelType w:val="multilevel"/>
    <w:tmpl w:val="E39C7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3936E2"/>
    <w:multiLevelType w:val="hybridMultilevel"/>
    <w:tmpl w:val="FFFFFFFF"/>
    <w:lvl w:ilvl="0" w:tplc="C56C3532">
      <w:start w:val="1"/>
      <w:numFmt w:val="bullet"/>
      <w:lvlText w:val=""/>
      <w:lvlJc w:val="left"/>
      <w:pPr>
        <w:ind w:left="720" w:hanging="360"/>
      </w:pPr>
      <w:rPr>
        <w:rFonts w:ascii="Symbol" w:hAnsi="Symbol" w:hint="default"/>
      </w:rPr>
    </w:lvl>
    <w:lvl w:ilvl="1" w:tplc="28C8F7A0">
      <w:start w:val="1"/>
      <w:numFmt w:val="bullet"/>
      <w:lvlText w:val="o"/>
      <w:lvlJc w:val="left"/>
      <w:pPr>
        <w:ind w:left="1440" w:hanging="360"/>
      </w:pPr>
      <w:rPr>
        <w:rFonts w:ascii="Courier New" w:hAnsi="Courier New" w:hint="default"/>
      </w:rPr>
    </w:lvl>
    <w:lvl w:ilvl="2" w:tplc="5024F07E">
      <w:start w:val="1"/>
      <w:numFmt w:val="bullet"/>
      <w:lvlText w:val=""/>
      <w:lvlJc w:val="left"/>
      <w:pPr>
        <w:ind w:left="2160" w:hanging="360"/>
      </w:pPr>
      <w:rPr>
        <w:rFonts w:ascii="Wingdings" w:hAnsi="Wingdings" w:hint="default"/>
      </w:rPr>
    </w:lvl>
    <w:lvl w:ilvl="3" w:tplc="BAC473DA">
      <w:start w:val="1"/>
      <w:numFmt w:val="bullet"/>
      <w:lvlText w:val=""/>
      <w:lvlJc w:val="left"/>
      <w:pPr>
        <w:ind w:left="2880" w:hanging="360"/>
      </w:pPr>
      <w:rPr>
        <w:rFonts w:ascii="Symbol" w:hAnsi="Symbol" w:hint="default"/>
      </w:rPr>
    </w:lvl>
    <w:lvl w:ilvl="4" w:tplc="F7422470">
      <w:start w:val="1"/>
      <w:numFmt w:val="bullet"/>
      <w:lvlText w:val="o"/>
      <w:lvlJc w:val="left"/>
      <w:pPr>
        <w:ind w:left="3600" w:hanging="360"/>
      </w:pPr>
      <w:rPr>
        <w:rFonts w:ascii="Courier New" w:hAnsi="Courier New" w:hint="default"/>
      </w:rPr>
    </w:lvl>
    <w:lvl w:ilvl="5" w:tplc="2B2EEBFA">
      <w:start w:val="1"/>
      <w:numFmt w:val="bullet"/>
      <w:lvlText w:val=""/>
      <w:lvlJc w:val="left"/>
      <w:pPr>
        <w:ind w:left="4320" w:hanging="360"/>
      </w:pPr>
      <w:rPr>
        <w:rFonts w:ascii="Wingdings" w:hAnsi="Wingdings" w:hint="default"/>
      </w:rPr>
    </w:lvl>
    <w:lvl w:ilvl="6" w:tplc="8C9017CE">
      <w:start w:val="1"/>
      <w:numFmt w:val="bullet"/>
      <w:lvlText w:val=""/>
      <w:lvlJc w:val="left"/>
      <w:pPr>
        <w:ind w:left="5040" w:hanging="360"/>
      </w:pPr>
      <w:rPr>
        <w:rFonts w:ascii="Symbol" w:hAnsi="Symbol" w:hint="default"/>
      </w:rPr>
    </w:lvl>
    <w:lvl w:ilvl="7" w:tplc="88C0AD64">
      <w:start w:val="1"/>
      <w:numFmt w:val="bullet"/>
      <w:lvlText w:val="o"/>
      <w:lvlJc w:val="left"/>
      <w:pPr>
        <w:ind w:left="5760" w:hanging="360"/>
      </w:pPr>
      <w:rPr>
        <w:rFonts w:ascii="Courier New" w:hAnsi="Courier New" w:hint="default"/>
      </w:rPr>
    </w:lvl>
    <w:lvl w:ilvl="8" w:tplc="4A843842">
      <w:start w:val="1"/>
      <w:numFmt w:val="bullet"/>
      <w:lvlText w:val=""/>
      <w:lvlJc w:val="left"/>
      <w:pPr>
        <w:ind w:left="6480" w:hanging="360"/>
      </w:pPr>
      <w:rPr>
        <w:rFonts w:ascii="Wingdings" w:hAnsi="Wingdings" w:hint="default"/>
      </w:rPr>
    </w:lvl>
  </w:abstractNum>
  <w:abstractNum w:abstractNumId="10" w15:restartNumberingAfterBreak="0">
    <w:nsid w:val="19FC0927"/>
    <w:multiLevelType w:val="hybridMultilevel"/>
    <w:tmpl w:val="A020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C5DA0"/>
    <w:multiLevelType w:val="multilevel"/>
    <w:tmpl w:val="1FFE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6E86F8"/>
    <w:multiLevelType w:val="hybridMultilevel"/>
    <w:tmpl w:val="FFFFFFFF"/>
    <w:lvl w:ilvl="0" w:tplc="1C788B6C">
      <w:start w:val="1"/>
      <w:numFmt w:val="bullet"/>
      <w:lvlText w:val=""/>
      <w:lvlJc w:val="left"/>
      <w:pPr>
        <w:ind w:left="720" w:hanging="360"/>
      </w:pPr>
      <w:rPr>
        <w:rFonts w:ascii="Symbol" w:hAnsi="Symbol" w:hint="default"/>
      </w:rPr>
    </w:lvl>
    <w:lvl w:ilvl="1" w:tplc="39BA2610">
      <w:start w:val="1"/>
      <w:numFmt w:val="bullet"/>
      <w:lvlText w:val="o"/>
      <w:lvlJc w:val="left"/>
      <w:pPr>
        <w:ind w:left="1440" w:hanging="360"/>
      </w:pPr>
      <w:rPr>
        <w:rFonts w:ascii="Courier New" w:hAnsi="Courier New" w:hint="default"/>
      </w:rPr>
    </w:lvl>
    <w:lvl w:ilvl="2" w:tplc="A7864514">
      <w:start w:val="1"/>
      <w:numFmt w:val="bullet"/>
      <w:lvlText w:val=""/>
      <w:lvlJc w:val="left"/>
      <w:pPr>
        <w:ind w:left="2160" w:hanging="360"/>
      </w:pPr>
      <w:rPr>
        <w:rFonts w:ascii="Wingdings" w:hAnsi="Wingdings" w:hint="default"/>
      </w:rPr>
    </w:lvl>
    <w:lvl w:ilvl="3" w:tplc="8048B688">
      <w:start w:val="1"/>
      <w:numFmt w:val="bullet"/>
      <w:lvlText w:val=""/>
      <w:lvlJc w:val="left"/>
      <w:pPr>
        <w:ind w:left="2880" w:hanging="360"/>
      </w:pPr>
      <w:rPr>
        <w:rFonts w:ascii="Symbol" w:hAnsi="Symbol" w:hint="default"/>
      </w:rPr>
    </w:lvl>
    <w:lvl w:ilvl="4" w:tplc="25CA1A54">
      <w:start w:val="1"/>
      <w:numFmt w:val="bullet"/>
      <w:lvlText w:val="o"/>
      <w:lvlJc w:val="left"/>
      <w:pPr>
        <w:ind w:left="3600" w:hanging="360"/>
      </w:pPr>
      <w:rPr>
        <w:rFonts w:ascii="Courier New" w:hAnsi="Courier New" w:hint="default"/>
      </w:rPr>
    </w:lvl>
    <w:lvl w:ilvl="5" w:tplc="4E1AB496">
      <w:start w:val="1"/>
      <w:numFmt w:val="bullet"/>
      <w:lvlText w:val=""/>
      <w:lvlJc w:val="left"/>
      <w:pPr>
        <w:ind w:left="4320" w:hanging="360"/>
      </w:pPr>
      <w:rPr>
        <w:rFonts w:ascii="Wingdings" w:hAnsi="Wingdings" w:hint="default"/>
      </w:rPr>
    </w:lvl>
    <w:lvl w:ilvl="6" w:tplc="8C0AC45E">
      <w:start w:val="1"/>
      <w:numFmt w:val="bullet"/>
      <w:lvlText w:val=""/>
      <w:lvlJc w:val="left"/>
      <w:pPr>
        <w:ind w:left="5040" w:hanging="360"/>
      </w:pPr>
      <w:rPr>
        <w:rFonts w:ascii="Symbol" w:hAnsi="Symbol" w:hint="default"/>
      </w:rPr>
    </w:lvl>
    <w:lvl w:ilvl="7" w:tplc="C1F2F3C8">
      <w:start w:val="1"/>
      <w:numFmt w:val="bullet"/>
      <w:lvlText w:val="o"/>
      <w:lvlJc w:val="left"/>
      <w:pPr>
        <w:ind w:left="5760" w:hanging="360"/>
      </w:pPr>
      <w:rPr>
        <w:rFonts w:ascii="Courier New" w:hAnsi="Courier New" w:hint="default"/>
      </w:rPr>
    </w:lvl>
    <w:lvl w:ilvl="8" w:tplc="E9504EB0">
      <w:start w:val="1"/>
      <w:numFmt w:val="bullet"/>
      <w:lvlText w:val=""/>
      <w:lvlJc w:val="left"/>
      <w:pPr>
        <w:ind w:left="6480" w:hanging="360"/>
      </w:pPr>
      <w:rPr>
        <w:rFonts w:ascii="Wingdings" w:hAnsi="Wingdings" w:hint="default"/>
      </w:rPr>
    </w:lvl>
  </w:abstractNum>
  <w:abstractNum w:abstractNumId="13" w15:restartNumberingAfterBreak="0">
    <w:nsid w:val="2A685B54"/>
    <w:multiLevelType w:val="hybridMultilevel"/>
    <w:tmpl w:val="FFFFFFFF"/>
    <w:lvl w:ilvl="0" w:tplc="D5769170">
      <w:start w:val="1"/>
      <w:numFmt w:val="bullet"/>
      <w:lvlText w:val=""/>
      <w:lvlJc w:val="left"/>
      <w:pPr>
        <w:ind w:left="720" w:hanging="360"/>
      </w:pPr>
      <w:rPr>
        <w:rFonts w:ascii="Symbol" w:hAnsi="Symbol" w:hint="default"/>
      </w:rPr>
    </w:lvl>
    <w:lvl w:ilvl="1" w:tplc="DE003B80">
      <w:start w:val="1"/>
      <w:numFmt w:val="bullet"/>
      <w:lvlText w:val="o"/>
      <w:lvlJc w:val="left"/>
      <w:pPr>
        <w:ind w:left="1440" w:hanging="360"/>
      </w:pPr>
      <w:rPr>
        <w:rFonts w:ascii="Courier New" w:hAnsi="Courier New" w:hint="default"/>
      </w:rPr>
    </w:lvl>
    <w:lvl w:ilvl="2" w:tplc="F9909FBC">
      <w:start w:val="1"/>
      <w:numFmt w:val="bullet"/>
      <w:lvlText w:val=""/>
      <w:lvlJc w:val="left"/>
      <w:pPr>
        <w:ind w:left="2160" w:hanging="360"/>
      </w:pPr>
      <w:rPr>
        <w:rFonts w:ascii="Wingdings" w:hAnsi="Wingdings" w:hint="default"/>
      </w:rPr>
    </w:lvl>
    <w:lvl w:ilvl="3" w:tplc="8BCC7834">
      <w:start w:val="1"/>
      <w:numFmt w:val="bullet"/>
      <w:lvlText w:val=""/>
      <w:lvlJc w:val="left"/>
      <w:pPr>
        <w:ind w:left="2880" w:hanging="360"/>
      </w:pPr>
      <w:rPr>
        <w:rFonts w:ascii="Symbol" w:hAnsi="Symbol" w:hint="default"/>
      </w:rPr>
    </w:lvl>
    <w:lvl w:ilvl="4" w:tplc="DD46481C">
      <w:start w:val="1"/>
      <w:numFmt w:val="bullet"/>
      <w:lvlText w:val="o"/>
      <w:lvlJc w:val="left"/>
      <w:pPr>
        <w:ind w:left="3600" w:hanging="360"/>
      </w:pPr>
      <w:rPr>
        <w:rFonts w:ascii="Courier New" w:hAnsi="Courier New" w:hint="default"/>
      </w:rPr>
    </w:lvl>
    <w:lvl w:ilvl="5" w:tplc="B3D69496">
      <w:start w:val="1"/>
      <w:numFmt w:val="bullet"/>
      <w:lvlText w:val=""/>
      <w:lvlJc w:val="left"/>
      <w:pPr>
        <w:ind w:left="4320" w:hanging="360"/>
      </w:pPr>
      <w:rPr>
        <w:rFonts w:ascii="Wingdings" w:hAnsi="Wingdings" w:hint="default"/>
      </w:rPr>
    </w:lvl>
    <w:lvl w:ilvl="6" w:tplc="B2FAC058">
      <w:start w:val="1"/>
      <w:numFmt w:val="bullet"/>
      <w:lvlText w:val=""/>
      <w:lvlJc w:val="left"/>
      <w:pPr>
        <w:ind w:left="5040" w:hanging="360"/>
      </w:pPr>
      <w:rPr>
        <w:rFonts w:ascii="Symbol" w:hAnsi="Symbol" w:hint="default"/>
      </w:rPr>
    </w:lvl>
    <w:lvl w:ilvl="7" w:tplc="92E62792">
      <w:start w:val="1"/>
      <w:numFmt w:val="bullet"/>
      <w:lvlText w:val="o"/>
      <w:lvlJc w:val="left"/>
      <w:pPr>
        <w:ind w:left="5760" w:hanging="360"/>
      </w:pPr>
      <w:rPr>
        <w:rFonts w:ascii="Courier New" w:hAnsi="Courier New" w:hint="default"/>
      </w:rPr>
    </w:lvl>
    <w:lvl w:ilvl="8" w:tplc="8D5C6B5E">
      <w:start w:val="1"/>
      <w:numFmt w:val="bullet"/>
      <w:lvlText w:val=""/>
      <w:lvlJc w:val="left"/>
      <w:pPr>
        <w:ind w:left="6480" w:hanging="360"/>
      </w:pPr>
      <w:rPr>
        <w:rFonts w:ascii="Wingdings" w:hAnsi="Wingdings" w:hint="default"/>
      </w:rPr>
    </w:lvl>
  </w:abstractNum>
  <w:abstractNum w:abstractNumId="14" w15:restartNumberingAfterBreak="0">
    <w:nsid w:val="2D5DD4D3"/>
    <w:multiLevelType w:val="hybridMultilevel"/>
    <w:tmpl w:val="FFFFFFFF"/>
    <w:lvl w:ilvl="0" w:tplc="B2420832">
      <w:start w:val="1"/>
      <w:numFmt w:val="bullet"/>
      <w:lvlText w:val=""/>
      <w:lvlJc w:val="left"/>
      <w:pPr>
        <w:ind w:left="720" w:hanging="360"/>
      </w:pPr>
      <w:rPr>
        <w:rFonts w:ascii="Symbol" w:hAnsi="Symbol" w:hint="default"/>
      </w:rPr>
    </w:lvl>
    <w:lvl w:ilvl="1" w:tplc="BF0CC586">
      <w:start w:val="1"/>
      <w:numFmt w:val="bullet"/>
      <w:lvlText w:val="o"/>
      <w:lvlJc w:val="left"/>
      <w:pPr>
        <w:ind w:left="1440" w:hanging="360"/>
      </w:pPr>
      <w:rPr>
        <w:rFonts w:ascii="Courier New" w:hAnsi="Courier New" w:hint="default"/>
      </w:rPr>
    </w:lvl>
    <w:lvl w:ilvl="2" w:tplc="1ABE462E">
      <w:start w:val="1"/>
      <w:numFmt w:val="bullet"/>
      <w:lvlText w:val=""/>
      <w:lvlJc w:val="left"/>
      <w:pPr>
        <w:ind w:left="2160" w:hanging="360"/>
      </w:pPr>
      <w:rPr>
        <w:rFonts w:ascii="Wingdings" w:hAnsi="Wingdings" w:hint="default"/>
      </w:rPr>
    </w:lvl>
    <w:lvl w:ilvl="3" w:tplc="E766B420">
      <w:start w:val="1"/>
      <w:numFmt w:val="bullet"/>
      <w:lvlText w:val=""/>
      <w:lvlJc w:val="left"/>
      <w:pPr>
        <w:ind w:left="2880" w:hanging="360"/>
      </w:pPr>
      <w:rPr>
        <w:rFonts w:ascii="Symbol" w:hAnsi="Symbol" w:hint="default"/>
      </w:rPr>
    </w:lvl>
    <w:lvl w:ilvl="4" w:tplc="CB42377E">
      <w:start w:val="1"/>
      <w:numFmt w:val="bullet"/>
      <w:lvlText w:val="o"/>
      <w:lvlJc w:val="left"/>
      <w:pPr>
        <w:ind w:left="3600" w:hanging="360"/>
      </w:pPr>
      <w:rPr>
        <w:rFonts w:ascii="Courier New" w:hAnsi="Courier New" w:hint="default"/>
      </w:rPr>
    </w:lvl>
    <w:lvl w:ilvl="5" w:tplc="5C0C9016">
      <w:start w:val="1"/>
      <w:numFmt w:val="bullet"/>
      <w:lvlText w:val=""/>
      <w:lvlJc w:val="left"/>
      <w:pPr>
        <w:ind w:left="4320" w:hanging="360"/>
      </w:pPr>
      <w:rPr>
        <w:rFonts w:ascii="Wingdings" w:hAnsi="Wingdings" w:hint="default"/>
      </w:rPr>
    </w:lvl>
    <w:lvl w:ilvl="6" w:tplc="40205AF2">
      <w:start w:val="1"/>
      <w:numFmt w:val="bullet"/>
      <w:lvlText w:val=""/>
      <w:lvlJc w:val="left"/>
      <w:pPr>
        <w:ind w:left="5040" w:hanging="360"/>
      </w:pPr>
      <w:rPr>
        <w:rFonts w:ascii="Symbol" w:hAnsi="Symbol" w:hint="default"/>
      </w:rPr>
    </w:lvl>
    <w:lvl w:ilvl="7" w:tplc="8282271C">
      <w:start w:val="1"/>
      <w:numFmt w:val="bullet"/>
      <w:lvlText w:val="o"/>
      <w:lvlJc w:val="left"/>
      <w:pPr>
        <w:ind w:left="5760" w:hanging="360"/>
      </w:pPr>
      <w:rPr>
        <w:rFonts w:ascii="Courier New" w:hAnsi="Courier New" w:hint="default"/>
      </w:rPr>
    </w:lvl>
    <w:lvl w:ilvl="8" w:tplc="BB760EDC">
      <w:start w:val="1"/>
      <w:numFmt w:val="bullet"/>
      <w:lvlText w:val=""/>
      <w:lvlJc w:val="left"/>
      <w:pPr>
        <w:ind w:left="6480" w:hanging="360"/>
      </w:pPr>
      <w:rPr>
        <w:rFonts w:ascii="Wingdings" w:hAnsi="Wingdings" w:hint="default"/>
      </w:rPr>
    </w:lvl>
  </w:abstractNum>
  <w:abstractNum w:abstractNumId="15" w15:restartNumberingAfterBreak="0">
    <w:nsid w:val="2D891C21"/>
    <w:multiLevelType w:val="multilevel"/>
    <w:tmpl w:val="CF3A61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D903BB4"/>
    <w:multiLevelType w:val="hybridMultilevel"/>
    <w:tmpl w:val="50649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384E52E"/>
    <w:multiLevelType w:val="hybridMultilevel"/>
    <w:tmpl w:val="FFFFFFFF"/>
    <w:lvl w:ilvl="0" w:tplc="D09A21B6">
      <w:start w:val="1"/>
      <w:numFmt w:val="bullet"/>
      <w:lvlText w:val=""/>
      <w:lvlJc w:val="left"/>
      <w:pPr>
        <w:ind w:left="720" w:hanging="360"/>
      </w:pPr>
      <w:rPr>
        <w:rFonts w:ascii="Symbol" w:hAnsi="Symbol" w:hint="default"/>
      </w:rPr>
    </w:lvl>
    <w:lvl w:ilvl="1" w:tplc="A13E6370">
      <w:start w:val="1"/>
      <w:numFmt w:val="bullet"/>
      <w:lvlText w:val="o"/>
      <w:lvlJc w:val="left"/>
      <w:pPr>
        <w:ind w:left="1440" w:hanging="360"/>
      </w:pPr>
      <w:rPr>
        <w:rFonts w:ascii="Courier New" w:hAnsi="Courier New" w:hint="default"/>
      </w:rPr>
    </w:lvl>
    <w:lvl w:ilvl="2" w:tplc="4FD047D0">
      <w:start w:val="1"/>
      <w:numFmt w:val="bullet"/>
      <w:lvlText w:val=""/>
      <w:lvlJc w:val="left"/>
      <w:pPr>
        <w:ind w:left="2160" w:hanging="360"/>
      </w:pPr>
      <w:rPr>
        <w:rFonts w:ascii="Wingdings" w:hAnsi="Wingdings" w:hint="default"/>
      </w:rPr>
    </w:lvl>
    <w:lvl w:ilvl="3" w:tplc="61D6EA82">
      <w:start w:val="1"/>
      <w:numFmt w:val="bullet"/>
      <w:lvlText w:val=""/>
      <w:lvlJc w:val="left"/>
      <w:pPr>
        <w:ind w:left="2880" w:hanging="360"/>
      </w:pPr>
      <w:rPr>
        <w:rFonts w:ascii="Symbol" w:hAnsi="Symbol" w:hint="default"/>
      </w:rPr>
    </w:lvl>
    <w:lvl w:ilvl="4" w:tplc="3F7607E8">
      <w:start w:val="1"/>
      <w:numFmt w:val="bullet"/>
      <w:lvlText w:val="o"/>
      <w:lvlJc w:val="left"/>
      <w:pPr>
        <w:ind w:left="3600" w:hanging="360"/>
      </w:pPr>
      <w:rPr>
        <w:rFonts w:ascii="Courier New" w:hAnsi="Courier New" w:hint="default"/>
      </w:rPr>
    </w:lvl>
    <w:lvl w:ilvl="5" w:tplc="A1E2D83C">
      <w:start w:val="1"/>
      <w:numFmt w:val="bullet"/>
      <w:lvlText w:val=""/>
      <w:lvlJc w:val="left"/>
      <w:pPr>
        <w:ind w:left="4320" w:hanging="360"/>
      </w:pPr>
      <w:rPr>
        <w:rFonts w:ascii="Wingdings" w:hAnsi="Wingdings" w:hint="default"/>
      </w:rPr>
    </w:lvl>
    <w:lvl w:ilvl="6" w:tplc="2F00A268">
      <w:start w:val="1"/>
      <w:numFmt w:val="bullet"/>
      <w:lvlText w:val=""/>
      <w:lvlJc w:val="left"/>
      <w:pPr>
        <w:ind w:left="5040" w:hanging="360"/>
      </w:pPr>
      <w:rPr>
        <w:rFonts w:ascii="Symbol" w:hAnsi="Symbol" w:hint="default"/>
      </w:rPr>
    </w:lvl>
    <w:lvl w:ilvl="7" w:tplc="1CE62CBE">
      <w:start w:val="1"/>
      <w:numFmt w:val="bullet"/>
      <w:lvlText w:val="o"/>
      <w:lvlJc w:val="left"/>
      <w:pPr>
        <w:ind w:left="5760" w:hanging="360"/>
      </w:pPr>
      <w:rPr>
        <w:rFonts w:ascii="Courier New" w:hAnsi="Courier New" w:hint="default"/>
      </w:rPr>
    </w:lvl>
    <w:lvl w:ilvl="8" w:tplc="D5C8FE74">
      <w:start w:val="1"/>
      <w:numFmt w:val="bullet"/>
      <w:lvlText w:val=""/>
      <w:lvlJc w:val="left"/>
      <w:pPr>
        <w:ind w:left="6480" w:hanging="360"/>
      </w:pPr>
      <w:rPr>
        <w:rFonts w:ascii="Wingdings" w:hAnsi="Wingdings" w:hint="default"/>
      </w:rPr>
    </w:lvl>
  </w:abstractNum>
  <w:abstractNum w:abstractNumId="18" w15:restartNumberingAfterBreak="0">
    <w:nsid w:val="34AF541F"/>
    <w:multiLevelType w:val="hybridMultilevel"/>
    <w:tmpl w:val="FFFFFFFF"/>
    <w:lvl w:ilvl="0" w:tplc="0882B9D8">
      <w:start w:val="1"/>
      <w:numFmt w:val="bullet"/>
      <w:lvlText w:val=""/>
      <w:lvlJc w:val="left"/>
      <w:pPr>
        <w:ind w:left="720" w:hanging="360"/>
      </w:pPr>
      <w:rPr>
        <w:rFonts w:ascii="Symbol" w:hAnsi="Symbol" w:hint="default"/>
      </w:rPr>
    </w:lvl>
    <w:lvl w:ilvl="1" w:tplc="486600B4">
      <w:start w:val="1"/>
      <w:numFmt w:val="bullet"/>
      <w:lvlText w:val="o"/>
      <w:lvlJc w:val="left"/>
      <w:pPr>
        <w:ind w:left="1440" w:hanging="360"/>
      </w:pPr>
      <w:rPr>
        <w:rFonts w:ascii="Courier New" w:hAnsi="Courier New" w:hint="default"/>
      </w:rPr>
    </w:lvl>
    <w:lvl w:ilvl="2" w:tplc="4F5C154E">
      <w:start w:val="1"/>
      <w:numFmt w:val="bullet"/>
      <w:lvlText w:val=""/>
      <w:lvlJc w:val="left"/>
      <w:pPr>
        <w:ind w:left="2160" w:hanging="360"/>
      </w:pPr>
      <w:rPr>
        <w:rFonts w:ascii="Wingdings" w:hAnsi="Wingdings" w:hint="default"/>
      </w:rPr>
    </w:lvl>
    <w:lvl w:ilvl="3" w:tplc="A87C1B54">
      <w:start w:val="1"/>
      <w:numFmt w:val="bullet"/>
      <w:lvlText w:val=""/>
      <w:lvlJc w:val="left"/>
      <w:pPr>
        <w:ind w:left="2880" w:hanging="360"/>
      </w:pPr>
      <w:rPr>
        <w:rFonts w:ascii="Symbol" w:hAnsi="Symbol" w:hint="default"/>
      </w:rPr>
    </w:lvl>
    <w:lvl w:ilvl="4" w:tplc="A76C66C2">
      <w:start w:val="1"/>
      <w:numFmt w:val="bullet"/>
      <w:lvlText w:val="o"/>
      <w:lvlJc w:val="left"/>
      <w:pPr>
        <w:ind w:left="3600" w:hanging="360"/>
      </w:pPr>
      <w:rPr>
        <w:rFonts w:ascii="Courier New" w:hAnsi="Courier New" w:hint="default"/>
      </w:rPr>
    </w:lvl>
    <w:lvl w:ilvl="5" w:tplc="81E80B64">
      <w:start w:val="1"/>
      <w:numFmt w:val="bullet"/>
      <w:lvlText w:val=""/>
      <w:lvlJc w:val="left"/>
      <w:pPr>
        <w:ind w:left="4320" w:hanging="360"/>
      </w:pPr>
      <w:rPr>
        <w:rFonts w:ascii="Wingdings" w:hAnsi="Wingdings" w:hint="default"/>
      </w:rPr>
    </w:lvl>
    <w:lvl w:ilvl="6" w:tplc="66F67E1E">
      <w:start w:val="1"/>
      <w:numFmt w:val="bullet"/>
      <w:lvlText w:val=""/>
      <w:lvlJc w:val="left"/>
      <w:pPr>
        <w:ind w:left="5040" w:hanging="360"/>
      </w:pPr>
      <w:rPr>
        <w:rFonts w:ascii="Symbol" w:hAnsi="Symbol" w:hint="default"/>
      </w:rPr>
    </w:lvl>
    <w:lvl w:ilvl="7" w:tplc="E52670DC">
      <w:start w:val="1"/>
      <w:numFmt w:val="bullet"/>
      <w:lvlText w:val="o"/>
      <w:lvlJc w:val="left"/>
      <w:pPr>
        <w:ind w:left="5760" w:hanging="360"/>
      </w:pPr>
      <w:rPr>
        <w:rFonts w:ascii="Courier New" w:hAnsi="Courier New" w:hint="default"/>
      </w:rPr>
    </w:lvl>
    <w:lvl w:ilvl="8" w:tplc="10BA0984">
      <w:start w:val="1"/>
      <w:numFmt w:val="bullet"/>
      <w:lvlText w:val=""/>
      <w:lvlJc w:val="left"/>
      <w:pPr>
        <w:ind w:left="6480" w:hanging="360"/>
      </w:pPr>
      <w:rPr>
        <w:rFonts w:ascii="Wingdings" w:hAnsi="Wingdings" w:hint="default"/>
      </w:rPr>
    </w:lvl>
  </w:abstractNum>
  <w:abstractNum w:abstractNumId="19" w15:restartNumberingAfterBreak="0">
    <w:nsid w:val="362E4D6E"/>
    <w:multiLevelType w:val="multilevel"/>
    <w:tmpl w:val="74B81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030660"/>
    <w:multiLevelType w:val="hybridMultilevel"/>
    <w:tmpl w:val="875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C1BE5"/>
    <w:multiLevelType w:val="multilevel"/>
    <w:tmpl w:val="BC70A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0B1C0D"/>
    <w:multiLevelType w:val="hybridMultilevel"/>
    <w:tmpl w:val="FFFFFFFF"/>
    <w:lvl w:ilvl="0" w:tplc="30CC60DA">
      <w:start w:val="1"/>
      <w:numFmt w:val="bullet"/>
      <w:lvlText w:val=""/>
      <w:lvlJc w:val="left"/>
      <w:pPr>
        <w:ind w:left="720" w:hanging="360"/>
      </w:pPr>
      <w:rPr>
        <w:rFonts w:ascii="Symbol" w:hAnsi="Symbol" w:hint="default"/>
      </w:rPr>
    </w:lvl>
    <w:lvl w:ilvl="1" w:tplc="E36AED04">
      <w:start w:val="1"/>
      <w:numFmt w:val="bullet"/>
      <w:lvlText w:val="o"/>
      <w:lvlJc w:val="left"/>
      <w:pPr>
        <w:ind w:left="1440" w:hanging="360"/>
      </w:pPr>
      <w:rPr>
        <w:rFonts w:ascii="Courier New" w:hAnsi="Courier New" w:hint="default"/>
      </w:rPr>
    </w:lvl>
    <w:lvl w:ilvl="2" w:tplc="6C1E5CAC">
      <w:start w:val="1"/>
      <w:numFmt w:val="bullet"/>
      <w:lvlText w:val=""/>
      <w:lvlJc w:val="left"/>
      <w:pPr>
        <w:ind w:left="2160" w:hanging="360"/>
      </w:pPr>
      <w:rPr>
        <w:rFonts w:ascii="Wingdings" w:hAnsi="Wingdings" w:hint="default"/>
      </w:rPr>
    </w:lvl>
    <w:lvl w:ilvl="3" w:tplc="9CBC832C">
      <w:start w:val="1"/>
      <w:numFmt w:val="bullet"/>
      <w:lvlText w:val=""/>
      <w:lvlJc w:val="left"/>
      <w:pPr>
        <w:ind w:left="2880" w:hanging="360"/>
      </w:pPr>
      <w:rPr>
        <w:rFonts w:ascii="Symbol" w:hAnsi="Symbol" w:hint="default"/>
      </w:rPr>
    </w:lvl>
    <w:lvl w:ilvl="4" w:tplc="CC0C859E">
      <w:start w:val="1"/>
      <w:numFmt w:val="bullet"/>
      <w:lvlText w:val="o"/>
      <w:lvlJc w:val="left"/>
      <w:pPr>
        <w:ind w:left="3600" w:hanging="360"/>
      </w:pPr>
      <w:rPr>
        <w:rFonts w:ascii="Courier New" w:hAnsi="Courier New" w:hint="default"/>
      </w:rPr>
    </w:lvl>
    <w:lvl w:ilvl="5" w:tplc="5CC69432">
      <w:start w:val="1"/>
      <w:numFmt w:val="bullet"/>
      <w:lvlText w:val=""/>
      <w:lvlJc w:val="left"/>
      <w:pPr>
        <w:ind w:left="4320" w:hanging="360"/>
      </w:pPr>
      <w:rPr>
        <w:rFonts w:ascii="Wingdings" w:hAnsi="Wingdings" w:hint="default"/>
      </w:rPr>
    </w:lvl>
    <w:lvl w:ilvl="6" w:tplc="E3F0F30C">
      <w:start w:val="1"/>
      <w:numFmt w:val="bullet"/>
      <w:lvlText w:val=""/>
      <w:lvlJc w:val="left"/>
      <w:pPr>
        <w:ind w:left="5040" w:hanging="360"/>
      </w:pPr>
      <w:rPr>
        <w:rFonts w:ascii="Symbol" w:hAnsi="Symbol" w:hint="default"/>
      </w:rPr>
    </w:lvl>
    <w:lvl w:ilvl="7" w:tplc="D37018E6">
      <w:start w:val="1"/>
      <w:numFmt w:val="bullet"/>
      <w:lvlText w:val="o"/>
      <w:lvlJc w:val="left"/>
      <w:pPr>
        <w:ind w:left="5760" w:hanging="360"/>
      </w:pPr>
      <w:rPr>
        <w:rFonts w:ascii="Courier New" w:hAnsi="Courier New" w:hint="default"/>
      </w:rPr>
    </w:lvl>
    <w:lvl w:ilvl="8" w:tplc="89BEAC96">
      <w:start w:val="1"/>
      <w:numFmt w:val="bullet"/>
      <w:lvlText w:val=""/>
      <w:lvlJc w:val="left"/>
      <w:pPr>
        <w:ind w:left="6480" w:hanging="360"/>
      </w:pPr>
      <w:rPr>
        <w:rFonts w:ascii="Wingdings" w:hAnsi="Wingdings" w:hint="default"/>
      </w:rPr>
    </w:lvl>
  </w:abstractNum>
  <w:abstractNum w:abstractNumId="23" w15:restartNumberingAfterBreak="0">
    <w:nsid w:val="3C327D3C"/>
    <w:multiLevelType w:val="hybridMultilevel"/>
    <w:tmpl w:val="6594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366814"/>
    <w:multiLevelType w:val="hybridMultilevel"/>
    <w:tmpl w:val="FFFFFFFF"/>
    <w:lvl w:ilvl="0" w:tplc="E8FA613C">
      <w:start w:val="1"/>
      <w:numFmt w:val="bullet"/>
      <w:lvlText w:val=""/>
      <w:lvlJc w:val="left"/>
      <w:pPr>
        <w:ind w:left="720" w:hanging="360"/>
      </w:pPr>
      <w:rPr>
        <w:rFonts w:ascii="Symbol" w:hAnsi="Symbol" w:hint="default"/>
      </w:rPr>
    </w:lvl>
    <w:lvl w:ilvl="1" w:tplc="A79A6C94">
      <w:start w:val="1"/>
      <w:numFmt w:val="bullet"/>
      <w:lvlText w:val="o"/>
      <w:lvlJc w:val="left"/>
      <w:pPr>
        <w:ind w:left="1440" w:hanging="360"/>
      </w:pPr>
      <w:rPr>
        <w:rFonts w:ascii="Courier New" w:hAnsi="Courier New" w:hint="default"/>
      </w:rPr>
    </w:lvl>
    <w:lvl w:ilvl="2" w:tplc="ECF04B28">
      <w:start w:val="1"/>
      <w:numFmt w:val="bullet"/>
      <w:lvlText w:val=""/>
      <w:lvlJc w:val="left"/>
      <w:pPr>
        <w:ind w:left="2160" w:hanging="360"/>
      </w:pPr>
      <w:rPr>
        <w:rFonts w:ascii="Wingdings" w:hAnsi="Wingdings" w:hint="default"/>
      </w:rPr>
    </w:lvl>
    <w:lvl w:ilvl="3" w:tplc="AAACF4C4">
      <w:start w:val="1"/>
      <w:numFmt w:val="bullet"/>
      <w:lvlText w:val=""/>
      <w:lvlJc w:val="left"/>
      <w:pPr>
        <w:ind w:left="2880" w:hanging="360"/>
      </w:pPr>
      <w:rPr>
        <w:rFonts w:ascii="Symbol" w:hAnsi="Symbol" w:hint="default"/>
      </w:rPr>
    </w:lvl>
    <w:lvl w:ilvl="4" w:tplc="C016AFAA">
      <w:start w:val="1"/>
      <w:numFmt w:val="bullet"/>
      <w:lvlText w:val="o"/>
      <w:lvlJc w:val="left"/>
      <w:pPr>
        <w:ind w:left="3600" w:hanging="360"/>
      </w:pPr>
      <w:rPr>
        <w:rFonts w:ascii="Courier New" w:hAnsi="Courier New" w:hint="default"/>
      </w:rPr>
    </w:lvl>
    <w:lvl w:ilvl="5" w:tplc="91A61098">
      <w:start w:val="1"/>
      <w:numFmt w:val="bullet"/>
      <w:lvlText w:val=""/>
      <w:lvlJc w:val="left"/>
      <w:pPr>
        <w:ind w:left="4320" w:hanging="360"/>
      </w:pPr>
      <w:rPr>
        <w:rFonts w:ascii="Wingdings" w:hAnsi="Wingdings" w:hint="default"/>
      </w:rPr>
    </w:lvl>
    <w:lvl w:ilvl="6" w:tplc="D41E35C0">
      <w:start w:val="1"/>
      <w:numFmt w:val="bullet"/>
      <w:lvlText w:val=""/>
      <w:lvlJc w:val="left"/>
      <w:pPr>
        <w:ind w:left="5040" w:hanging="360"/>
      </w:pPr>
      <w:rPr>
        <w:rFonts w:ascii="Symbol" w:hAnsi="Symbol" w:hint="default"/>
      </w:rPr>
    </w:lvl>
    <w:lvl w:ilvl="7" w:tplc="7B6A2870">
      <w:start w:val="1"/>
      <w:numFmt w:val="bullet"/>
      <w:lvlText w:val="o"/>
      <w:lvlJc w:val="left"/>
      <w:pPr>
        <w:ind w:left="5760" w:hanging="360"/>
      </w:pPr>
      <w:rPr>
        <w:rFonts w:ascii="Courier New" w:hAnsi="Courier New" w:hint="default"/>
      </w:rPr>
    </w:lvl>
    <w:lvl w:ilvl="8" w:tplc="D68088EA">
      <w:start w:val="1"/>
      <w:numFmt w:val="bullet"/>
      <w:lvlText w:val=""/>
      <w:lvlJc w:val="left"/>
      <w:pPr>
        <w:ind w:left="6480" w:hanging="360"/>
      </w:pPr>
      <w:rPr>
        <w:rFonts w:ascii="Wingdings" w:hAnsi="Wingdings" w:hint="default"/>
      </w:rPr>
    </w:lvl>
  </w:abstractNum>
  <w:abstractNum w:abstractNumId="25" w15:restartNumberingAfterBreak="0">
    <w:nsid w:val="40C50878"/>
    <w:multiLevelType w:val="hybridMultilevel"/>
    <w:tmpl w:val="67303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A67C45"/>
    <w:multiLevelType w:val="hybridMultilevel"/>
    <w:tmpl w:val="69BA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626BFF"/>
    <w:multiLevelType w:val="multilevel"/>
    <w:tmpl w:val="E8A8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090795"/>
    <w:multiLevelType w:val="hybridMultilevel"/>
    <w:tmpl w:val="3966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47736"/>
    <w:multiLevelType w:val="multilevel"/>
    <w:tmpl w:val="256A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E5B18"/>
    <w:multiLevelType w:val="multilevel"/>
    <w:tmpl w:val="D480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B86C85"/>
    <w:multiLevelType w:val="multilevel"/>
    <w:tmpl w:val="FBD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692642"/>
    <w:multiLevelType w:val="hybridMultilevel"/>
    <w:tmpl w:val="DAF4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F87BE3"/>
    <w:multiLevelType w:val="hybridMultilevel"/>
    <w:tmpl w:val="207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235CCB"/>
    <w:multiLevelType w:val="hybridMultilevel"/>
    <w:tmpl w:val="FFFFFFFF"/>
    <w:lvl w:ilvl="0" w:tplc="B086936E">
      <w:start w:val="1"/>
      <w:numFmt w:val="bullet"/>
      <w:lvlText w:val=""/>
      <w:lvlJc w:val="left"/>
      <w:pPr>
        <w:ind w:left="720" w:hanging="360"/>
      </w:pPr>
      <w:rPr>
        <w:rFonts w:ascii="Symbol" w:hAnsi="Symbol" w:hint="default"/>
      </w:rPr>
    </w:lvl>
    <w:lvl w:ilvl="1" w:tplc="6264039E">
      <w:start w:val="1"/>
      <w:numFmt w:val="bullet"/>
      <w:lvlText w:val="o"/>
      <w:lvlJc w:val="left"/>
      <w:pPr>
        <w:ind w:left="1440" w:hanging="360"/>
      </w:pPr>
      <w:rPr>
        <w:rFonts w:ascii="Courier New" w:hAnsi="Courier New" w:hint="default"/>
      </w:rPr>
    </w:lvl>
    <w:lvl w:ilvl="2" w:tplc="41CA619C">
      <w:start w:val="1"/>
      <w:numFmt w:val="bullet"/>
      <w:lvlText w:val=""/>
      <w:lvlJc w:val="left"/>
      <w:pPr>
        <w:ind w:left="2160" w:hanging="360"/>
      </w:pPr>
      <w:rPr>
        <w:rFonts w:ascii="Wingdings" w:hAnsi="Wingdings" w:hint="default"/>
      </w:rPr>
    </w:lvl>
    <w:lvl w:ilvl="3" w:tplc="0E2026FC">
      <w:start w:val="1"/>
      <w:numFmt w:val="bullet"/>
      <w:lvlText w:val=""/>
      <w:lvlJc w:val="left"/>
      <w:pPr>
        <w:ind w:left="2880" w:hanging="360"/>
      </w:pPr>
      <w:rPr>
        <w:rFonts w:ascii="Symbol" w:hAnsi="Symbol" w:hint="default"/>
      </w:rPr>
    </w:lvl>
    <w:lvl w:ilvl="4" w:tplc="FC3C37A6">
      <w:start w:val="1"/>
      <w:numFmt w:val="bullet"/>
      <w:lvlText w:val="o"/>
      <w:lvlJc w:val="left"/>
      <w:pPr>
        <w:ind w:left="3600" w:hanging="360"/>
      </w:pPr>
      <w:rPr>
        <w:rFonts w:ascii="Courier New" w:hAnsi="Courier New" w:hint="default"/>
      </w:rPr>
    </w:lvl>
    <w:lvl w:ilvl="5" w:tplc="541C2A22">
      <w:start w:val="1"/>
      <w:numFmt w:val="bullet"/>
      <w:lvlText w:val=""/>
      <w:lvlJc w:val="left"/>
      <w:pPr>
        <w:ind w:left="4320" w:hanging="360"/>
      </w:pPr>
      <w:rPr>
        <w:rFonts w:ascii="Wingdings" w:hAnsi="Wingdings" w:hint="default"/>
      </w:rPr>
    </w:lvl>
    <w:lvl w:ilvl="6" w:tplc="D7463ED2">
      <w:start w:val="1"/>
      <w:numFmt w:val="bullet"/>
      <w:lvlText w:val=""/>
      <w:lvlJc w:val="left"/>
      <w:pPr>
        <w:ind w:left="5040" w:hanging="360"/>
      </w:pPr>
      <w:rPr>
        <w:rFonts w:ascii="Symbol" w:hAnsi="Symbol" w:hint="default"/>
      </w:rPr>
    </w:lvl>
    <w:lvl w:ilvl="7" w:tplc="7C729B8C">
      <w:start w:val="1"/>
      <w:numFmt w:val="bullet"/>
      <w:lvlText w:val="o"/>
      <w:lvlJc w:val="left"/>
      <w:pPr>
        <w:ind w:left="5760" w:hanging="360"/>
      </w:pPr>
      <w:rPr>
        <w:rFonts w:ascii="Courier New" w:hAnsi="Courier New" w:hint="default"/>
      </w:rPr>
    </w:lvl>
    <w:lvl w:ilvl="8" w:tplc="B7C6D140">
      <w:start w:val="1"/>
      <w:numFmt w:val="bullet"/>
      <w:lvlText w:val=""/>
      <w:lvlJc w:val="left"/>
      <w:pPr>
        <w:ind w:left="6480" w:hanging="360"/>
      </w:pPr>
      <w:rPr>
        <w:rFonts w:ascii="Wingdings" w:hAnsi="Wingdings" w:hint="default"/>
      </w:rPr>
    </w:lvl>
  </w:abstractNum>
  <w:abstractNum w:abstractNumId="35" w15:restartNumberingAfterBreak="0">
    <w:nsid w:val="58840C1C"/>
    <w:multiLevelType w:val="multilevel"/>
    <w:tmpl w:val="782E0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A00E7F"/>
    <w:multiLevelType w:val="hybridMultilevel"/>
    <w:tmpl w:val="0670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94C6B"/>
    <w:multiLevelType w:val="hybridMultilevel"/>
    <w:tmpl w:val="FFFFFFFF"/>
    <w:lvl w:ilvl="0" w:tplc="9FDC4FE2">
      <w:start w:val="1"/>
      <w:numFmt w:val="bullet"/>
      <w:lvlText w:val=""/>
      <w:lvlJc w:val="left"/>
      <w:pPr>
        <w:ind w:left="720" w:hanging="360"/>
      </w:pPr>
      <w:rPr>
        <w:rFonts w:ascii="Symbol" w:hAnsi="Symbol" w:hint="default"/>
      </w:rPr>
    </w:lvl>
    <w:lvl w:ilvl="1" w:tplc="E47612B0">
      <w:start w:val="1"/>
      <w:numFmt w:val="bullet"/>
      <w:lvlText w:val="o"/>
      <w:lvlJc w:val="left"/>
      <w:pPr>
        <w:ind w:left="1440" w:hanging="360"/>
      </w:pPr>
      <w:rPr>
        <w:rFonts w:ascii="Courier New" w:hAnsi="Courier New" w:hint="default"/>
      </w:rPr>
    </w:lvl>
    <w:lvl w:ilvl="2" w:tplc="4F60A96A">
      <w:start w:val="1"/>
      <w:numFmt w:val="bullet"/>
      <w:lvlText w:val=""/>
      <w:lvlJc w:val="left"/>
      <w:pPr>
        <w:ind w:left="2160" w:hanging="360"/>
      </w:pPr>
      <w:rPr>
        <w:rFonts w:ascii="Wingdings" w:hAnsi="Wingdings" w:hint="default"/>
      </w:rPr>
    </w:lvl>
    <w:lvl w:ilvl="3" w:tplc="DA10547A">
      <w:start w:val="1"/>
      <w:numFmt w:val="bullet"/>
      <w:lvlText w:val=""/>
      <w:lvlJc w:val="left"/>
      <w:pPr>
        <w:ind w:left="2880" w:hanging="360"/>
      </w:pPr>
      <w:rPr>
        <w:rFonts w:ascii="Symbol" w:hAnsi="Symbol" w:hint="default"/>
      </w:rPr>
    </w:lvl>
    <w:lvl w:ilvl="4" w:tplc="21AABF66">
      <w:start w:val="1"/>
      <w:numFmt w:val="bullet"/>
      <w:lvlText w:val="o"/>
      <w:lvlJc w:val="left"/>
      <w:pPr>
        <w:ind w:left="3600" w:hanging="360"/>
      </w:pPr>
      <w:rPr>
        <w:rFonts w:ascii="Courier New" w:hAnsi="Courier New" w:hint="default"/>
      </w:rPr>
    </w:lvl>
    <w:lvl w:ilvl="5" w:tplc="2A4E67F2">
      <w:start w:val="1"/>
      <w:numFmt w:val="bullet"/>
      <w:lvlText w:val=""/>
      <w:lvlJc w:val="left"/>
      <w:pPr>
        <w:ind w:left="4320" w:hanging="360"/>
      </w:pPr>
      <w:rPr>
        <w:rFonts w:ascii="Wingdings" w:hAnsi="Wingdings" w:hint="default"/>
      </w:rPr>
    </w:lvl>
    <w:lvl w:ilvl="6" w:tplc="4DEA8DC0">
      <w:start w:val="1"/>
      <w:numFmt w:val="bullet"/>
      <w:lvlText w:val=""/>
      <w:lvlJc w:val="left"/>
      <w:pPr>
        <w:ind w:left="5040" w:hanging="360"/>
      </w:pPr>
      <w:rPr>
        <w:rFonts w:ascii="Symbol" w:hAnsi="Symbol" w:hint="default"/>
      </w:rPr>
    </w:lvl>
    <w:lvl w:ilvl="7" w:tplc="A2540CEE">
      <w:start w:val="1"/>
      <w:numFmt w:val="bullet"/>
      <w:lvlText w:val="o"/>
      <w:lvlJc w:val="left"/>
      <w:pPr>
        <w:ind w:left="5760" w:hanging="360"/>
      </w:pPr>
      <w:rPr>
        <w:rFonts w:ascii="Courier New" w:hAnsi="Courier New" w:hint="default"/>
      </w:rPr>
    </w:lvl>
    <w:lvl w:ilvl="8" w:tplc="4B0EB6A0">
      <w:start w:val="1"/>
      <w:numFmt w:val="bullet"/>
      <w:lvlText w:val=""/>
      <w:lvlJc w:val="left"/>
      <w:pPr>
        <w:ind w:left="6480" w:hanging="360"/>
      </w:pPr>
      <w:rPr>
        <w:rFonts w:ascii="Wingdings" w:hAnsi="Wingdings" w:hint="default"/>
      </w:rPr>
    </w:lvl>
  </w:abstractNum>
  <w:abstractNum w:abstractNumId="38" w15:restartNumberingAfterBreak="0">
    <w:nsid w:val="6A313009"/>
    <w:multiLevelType w:val="hybridMultilevel"/>
    <w:tmpl w:val="43103CD6"/>
    <w:lvl w:ilvl="0" w:tplc="3B86D46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FA4EAF"/>
    <w:multiLevelType w:val="multilevel"/>
    <w:tmpl w:val="ECF4F100"/>
    <w:lvl w:ilvl="0">
      <w:start w:val="1"/>
      <w:numFmt w:val="decimal"/>
      <w:lvlText w:val="%1."/>
      <w:lvlJc w:val="left"/>
      <w:pPr>
        <w:tabs>
          <w:tab w:val="num" w:pos="1800"/>
        </w:tabs>
        <w:ind w:left="1800" w:hanging="360"/>
      </w:pPr>
    </w:lvl>
    <w:lvl w:ilvl="1">
      <w:start w:val="1"/>
      <w:numFmt w:val="bullet"/>
      <w:lvlText w:val="o"/>
      <w:lvlJc w:val="left"/>
      <w:pPr>
        <w:ind w:left="2083" w:hanging="360"/>
      </w:pPr>
      <w:rPr>
        <w:rFonts w:ascii="Courier New" w:hAnsi="Courier New" w:cs="Courier New" w:hint="default"/>
      </w:rPr>
    </w:lvl>
    <w:lvl w:ilvl="2">
      <w:start w:val="1"/>
      <w:numFmt w:val="bullet"/>
      <w:lvlText w:val="o"/>
      <w:lvlJc w:val="left"/>
      <w:pPr>
        <w:ind w:left="2367" w:hanging="360"/>
      </w:pPr>
      <w:rPr>
        <w:rFonts w:ascii="Courier New" w:hAnsi="Courier New" w:cs="Courier New" w:hint="default"/>
      </w:rPr>
    </w:lvl>
    <w:lvl w:ilvl="3">
      <w:start w:val="1"/>
      <w:numFmt w:val="lowerLetter"/>
      <w:lvlText w:val="(%4)"/>
      <w:lvlJc w:val="left"/>
      <w:pPr>
        <w:ind w:left="3960" w:hanging="360"/>
      </w:pPr>
      <w:rPr>
        <w:rFonts w:hint="default"/>
      </w:r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0" w15:restartNumberingAfterBreak="0">
    <w:nsid w:val="72550684"/>
    <w:multiLevelType w:val="hybridMultilevel"/>
    <w:tmpl w:val="645C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1B3499"/>
    <w:multiLevelType w:val="hybridMultilevel"/>
    <w:tmpl w:val="21AE7D9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B71151"/>
    <w:multiLevelType w:val="hybridMultilevel"/>
    <w:tmpl w:val="F8BA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C91C0E"/>
    <w:multiLevelType w:val="multilevel"/>
    <w:tmpl w:val="73FAC9E2"/>
    <w:lvl w:ilvl="0">
      <w:start w:val="1"/>
      <w:numFmt w:val="decimal"/>
      <w:lvlText w:val="%1."/>
      <w:lvlJc w:val="left"/>
      <w:pPr>
        <w:ind w:left="720" w:hanging="360"/>
      </w:pPr>
      <w:rPr>
        <w:rFonts w:hint="default"/>
        <w:b/>
        <w:i w:val="0"/>
        <w:sz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B64A0C"/>
    <w:multiLevelType w:val="multilevel"/>
    <w:tmpl w:val="D15C56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C15288"/>
    <w:multiLevelType w:val="hybridMultilevel"/>
    <w:tmpl w:val="F63E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174836">
    <w:abstractNumId w:val="1"/>
  </w:num>
  <w:num w:numId="2" w16cid:durableId="869495486">
    <w:abstractNumId w:val="9"/>
  </w:num>
  <w:num w:numId="3" w16cid:durableId="1201358971">
    <w:abstractNumId w:val="22"/>
  </w:num>
  <w:num w:numId="4" w16cid:durableId="1517961690">
    <w:abstractNumId w:val="6"/>
  </w:num>
  <w:num w:numId="5" w16cid:durableId="1371372856">
    <w:abstractNumId w:val="37"/>
  </w:num>
  <w:num w:numId="6" w16cid:durableId="48500141">
    <w:abstractNumId w:val="17"/>
  </w:num>
  <w:num w:numId="7" w16cid:durableId="1404645677">
    <w:abstractNumId w:val="18"/>
  </w:num>
  <w:num w:numId="8" w16cid:durableId="1437285019">
    <w:abstractNumId w:val="13"/>
  </w:num>
  <w:num w:numId="9" w16cid:durableId="1570798593">
    <w:abstractNumId w:val="12"/>
  </w:num>
  <w:num w:numId="10" w16cid:durableId="459882612">
    <w:abstractNumId w:val="14"/>
  </w:num>
  <w:num w:numId="11" w16cid:durableId="2111897750">
    <w:abstractNumId w:val="34"/>
  </w:num>
  <w:num w:numId="12" w16cid:durableId="2110083452">
    <w:abstractNumId w:val="24"/>
  </w:num>
  <w:num w:numId="13" w16cid:durableId="1273050628">
    <w:abstractNumId w:val="0"/>
  </w:num>
  <w:num w:numId="14" w16cid:durableId="708335487">
    <w:abstractNumId w:val="36"/>
  </w:num>
  <w:num w:numId="15" w16cid:durableId="1011878285">
    <w:abstractNumId w:val="10"/>
  </w:num>
  <w:num w:numId="16" w16cid:durableId="1514490170">
    <w:abstractNumId w:val="40"/>
  </w:num>
  <w:num w:numId="17" w16cid:durableId="969554480">
    <w:abstractNumId w:val="4"/>
  </w:num>
  <w:num w:numId="18" w16cid:durableId="1977029959">
    <w:abstractNumId w:val="42"/>
  </w:num>
  <w:num w:numId="19" w16cid:durableId="1787233504">
    <w:abstractNumId w:val="26"/>
  </w:num>
  <w:num w:numId="20" w16cid:durableId="1950889028">
    <w:abstractNumId w:val="28"/>
  </w:num>
  <w:num w:numId="21" w16cid:durableId="1204559875">
    <w:abstractNumId w:val="23"/>
  </w:num>
  <w:num w:numId="22" w16cid:durableId="733743629">
    <w:abstractNumId w:val="32"/>
  </w:num>
  <w:num w:numId="23" w16cid:durableId="1325815211">
    <w:abstractNumId w:val="20"/>
  </w:num>
  <w:num w:numId="24" w16cid:durableId="900946509">
    <w:abstractNumId w:val="45"/>
  </w:num>
  <w:num w:numId="25" w16cid:durableId="2047439958">
    <w:abstractNumId w:val="33"/>
  </w:num>
  <w:num w:numId="26" w16cid:durableId="737560212">
    <w:abstractNumId w:val="44"/>
  </w:num>
  <w:num w:numId="27" w16cid:durableId="260066160">
    <w:abstractNumId w:val="35"/>
  </w:num>
  <w:num w:numId="28" w16cid:durableId="1388650279">
    <w:abstractNumId w:val="21"/>
  </w:num>
  <w:num w:numId="29" w16cid:durableId="2132089186">
    <w:abstractNumId w:val="41"/>
  </w:num>
  <w:num w:numId="30" w16cid:durableId="837961059">
    <w:abstractNumId w:val="43"/>
  </w:num>
  <w:num w:numId="31" w16cid:durableId="1878078439">
    <w:abstractNumId w:val="2"/>
  </w:num>
  <w:num w:numId="32" w16cid:durableId="475802342">
    <w:abstractNumId w:val="8"/>
  </w:num>
  <w:num w:numId="33" w16cid:durableId="19545587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5665759">
    <w:abstractNumId w:val="29"/>
  </w:num>
  <w:num w:numId="35" w16cid:durableId="1778285149">
    <w:abstractNumId w:val="31"/>
  </w:num>
  <w:num w:numId="36" w16cid:durableId="340469103">
    <w:abstractNumId w:val="5"/>
  </w:num>
  <w:num w:numId="37" w16cid:durableId="1933275080">
    <w:abstractNumId w:val="30"/>
  </w:num>
  <w:num w:numId="38" w16cid:durableId="1303536034">
    <w:abstractNumId w:val="7"/>
  </w:num>
  <w:num w:numId="39" w16cid:durableId="63186108">
    <w:abstractNumId w:val="27"/>
  </w:num>
  <w:num w:numId="40" w16cid:durableId="877662614">
    <w:abstractNumId w:val="19"/>
  </w:num>
  <w:num w:numId="41" w16cid:durableId="975377260">
    <w:abstractNumId w:val="11"/>
  </w:num>
  <w:num w:numId="42" w16cid:durableId="239993943">
    <w:abstractNumId w:val="39"/>
  </w:num>
  <w:num w:numId="43" w16cid:durableId="1241257492">
    <w:abstractNumId w:val="15"/>
  </w:num>
  <w:num w:numId="44" w16cid:durableId="827482141">
    <w:abstractNumId w:val="3"/>
  </w:num>
  <w:num w:numId="45" w16cid:durableId="1985504363">
    <w:abstractNumId w:val="25"/>
  </w:num>
  <w:num w:numId="46" w16cid:durableId="11465812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7GFQgG7PT+LlXHJBR0KWVfJn0H9rnj9O1Pa4yQV7wVf7pELJn8g9Xp0fZ3zDpHAfrDCZVVIqd2YoycJYOb7M/A==" w:salt="ZlnT391HGtPOzbHOOTbk1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B6"/>
    <w:rsid w:val="00003EB7"/>
    <w:rsid w:val="00052E6C"/>
    <w:rsid w:val="000F53A3"/>
    <w:rsid w:val="00192F95"/>
    <w:rsid w:val="001D7C51"/>
    <w:rsid w:val="001F1F42"/>
    <w:rsid w:val="002421D0"/>
    <w:rsid w:val="0025308C"/>
    <w:rsid w:val="002A1BF0"/>
    <w:rsid w:val="003121DF"/>
    <w:rsid w:val="003533B1"/>
    <w:rsid w:val="003546EA"/>
    <w:rsid w:val="003C30CB"/>
    <w:rsid w:val="00486177"/>
    <w:rsid w:val="004A311D"/>
    <w:rsid w:val="004A48FF"/>
    <w:rsid w:val="00530BAC"/>
    <w:rsid w:val="00535CF2"/>
    <w:rsid w:val="00583825"/>
    <w:rsid w:val="005F57A2"/>
    <w:rsid w:val="00647776"/>
    <w:rsid w:val="00655319"/>
    <w:rsid w:val="006632B4"/>
    <w:rsid w:val="006A48D7"/>
    <w:rsid w:val="007647DD"/>
    <w:rsid w:val="007A1748"/>
    <w:rsid w:val="007E2218"/>
    <w:rsid w:val="007E6375"/>
    <w:rsid w:val="00816570"/>
    <w:rsid w:val="00851121"/>
    <w:rsid w:val="008519B6"/>
    <w:rsid w:val="00872850"/>
    <w:rsid w:val="00873BC0"/>
    <w:rsid w:val="008D190F"/>
    <w:rsid w:val="00925A98"/>
    <w:rsid w:val="009956E1"/>
    <w:rsid w:val="00A3139D"/>
    <w:rsid w:val="00B35BC1"/>
    <w:rsid w:val="00B36C4A"/>
    <w:rsid w:val="00B57812"/>
    <w:rsid w:val="00B73023"/>
    <w:rsid w:val="00B8006A"/>
    <w:rsid w:val="00BC792B"/>
    <w:rsid w:val="00BD010B"/>
    <w:rsid w:val="00C51F81"/>
    <w:rsid w:val="00CF0853"/>
    <w:rsid w:val="00D3773D"/>
    <w:rsid w:val="00DD7C3B"/>
    <w:rsid w:val="00DF452C"/>
    <w:rsid w:val="00E464DE"/>
    <w:rsid w:val="00E721B1"/>
    <w:rsid w:val="00EB0501"/>
    <w:rsid w:val="00EB4F17"/>
    <w:rsid w:val="00F057FA"/>
    <w:rsid w:val="00F16A1F"/>
    <w:rsid w:val="00F2501F"/>
    <w:rsid w:val="00F81F30"/>
    <w:rsid w:val="00F825A7"/>
    <w:rsid w:val="00FE7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FCFCC"/>
  <w15:chartTrackingRefBased/>
  <w15:docId w15:val="{26B6BDF3-B8E1-4988-845E-015C5885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9B6"/>
  </w:style>
  <w:style w:type="paragraph" w:styleId="Heading1">
    <w:name w:val="heading 1"/>
    <w:basedOn w:val="Normal"/>
    <w:next w:val="Normal"/>
    <w:link w:val="Heading1Char"/>
    <w:uiPriority w:val="9"/>
    <w:qFormat/>
    <w:rsid w:val="00851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1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19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19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19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19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9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9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9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19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19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19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19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19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9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9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9B6"/>
    <w:rPr>
      <w:rFonts w:eastAsiaTheme="majorEastAsia" w:cstheme="majorBidi"/>
      <w:color w:val="272727" w:themeColor="text1" w:themeTint="D8"/>
    </w:rPr>
  </w:style>
  <w:style w:type="paragraph" w:styleId="Title">
    <w:name w:val="Title"/>
    <w:basedOn w:val="Normal"/>
    <w:next w:val="Normal"/>
    <w:link w:val="TitleChar"/>
    <w:uiPriority w:val="10"/>
    <w:qFormat/>
    <w:rsid w:val="00851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9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9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9B6"/>
    <w:pPr>
      <w:spacing w:before="160"/>
      <w:jc w:val="center"/>
    </w:pPr>
    <w:rPr>
      <w:i/>
      <w:iCs/>
      <w:color w:val="404040" w:themeColor="text1" w:themeTint="BF"/>
    </w:rPr>
  </w:style>
  <w:style w:type="character" w:customStyle="1" w:styleId="QuoteChar">
    <w:name w:val="Quote Char"/>
    <w:basedOn w:val="DefaultParagraphFont"/>
    <w:link w:val="Quote"/>
    <w:uiPriority w:val="29"/>
    <w:rsid w:val="008519B6"/>
    <w:rPr>
      <w:i/>
      <w:iCs/>
      <w:color w:val="404040" w:themeColor="text1" w:themeTint="BF"/>
    </w:rPr>
  </w:style>
  <w:style w:type="paragraph" w:styleId="ListParagraph">
    <w:name w:val="List Paragraph"/>
    <w:aliases w:val="List Paragraph 1,List Paragraph1,Normal + indent,Dot pt,No Spacing1,List Paragraph Char Char Char,Indicator Text,Numbered Para 1,Bullet 1,F5 List Paragraph,Bullet Points,MAIN CONTENT,Colorful List - Accent 11,List Paragraph2,OBC Bullet,L"/>
    <w:basedOn w:val="Normal"/>
    <w:link w:val="ListParagraphChar"/>
    <w:uiPriority w:val="34"/>
    <w:qFormat/>
    <w:rsid w:val="008519B6"/>
    <w:pPr>
      <w:ind w:left="720"/>
      <w:contextualSpacing/>
    </w:pPr>
  </w:style>
  <w:style w:type="character" w:styleId="IntenseEmphasis">
    <w:name w:val="Intense Emphasis"/>
    <w:basedOn w:val="DefaultParagraphFont"/>
    <w:uiPriority w:val="21"/>
    <w:qFormat/>
    <w:rsid w:val="008519B6"/>
    <w:rPr>
      <w:i/>
      <w:iCs/>
      <w:color w:val="0F4761" w:themeColor="accent1" w:themeShade="BF"/>
    </w:rPr>
  </w:style>
  <w:style w:type="paragraph" w:styleId="IntenseQuote">
    <w:name w:val="Intense Quote"/>
    <w:basedOn w:val="Normal"/>
    <w:next w:val="Normal"/>
    <w:link w:val="IntenseQuoteChar"/>
    <w:uiPriority w:val="30"/>
    <w:qFormat/>
    <w:rsid w:val="00851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9B6"/>
    <w:rPr>
      <w:i/>
      <w:iCs/>
      <w:color w:val="0F4761" w:themeColor="accent1" w:themeShade="BF"/>
    </w:rPr>
  </w:style>
  <w:style w:type="character" w:styleId="IntenseReference">
    <w:name w:val="Intense Reference"/>
    <w:basedOn w:val="DefaultParagraphFont"/>
    <w:uiPriority w:val="32"/>
    <w:qFormat/>
    <w:rsid w:val="008519B6"/>
    <w:rPr>
      <w:b/>
      <w:bCs/>
      <w:smallCaps/>
      <w:color w:val="0F4761" w:themeColor="accent1" w:themeShade="BF"/>
      <w:spacing w:val="5"/>
    </w:rPr>
  </w:style>
  <w:style w:type="paragraph" w:styleId="TOCHeading">
    <w:name w:val="TOC Heading"/>
    <w:basedOn w:val="Heading1"/>
    <w:next w:val="Normal"/>
    <w:uiPriority w:val="39"/>
    <w:unhideWhenUsed/>
    <w:qFormat/>
    <w:rsid w:val="008519B6"/>
    <w:pPr>
      <w:spacing w:before="240" w:after="0" w:line="259" w:lineRule="auto"/>
      <w:outlineLvl w:val="9"/>
    </w:pPr>
    <w:rPr>
      <w:kern w:val="0"/>
      <w:sz w:val="32"/>
      <w:szCs w:val="32"/>
      <w:lang w:val="en-US"/>
      <w14:ligatures w14:val="none"/>
    </w:rPr>
  </w:style>
  <w:style w:type="character" w:styleId="CommentReference">
    <w:name w:val="annotation reference"/>
    <w:basedOn w:val="DefaultParagraphFont"/>
    <w:uiPriority w:val="99"/>
    <w:semiHidden/>
    <w:unhideWhenUsed/>
    <w:rsid w:val="008519B6"/>
    <w:rPr>
      <w:sz w:val="16"/>
      <w:szCs w:val="16"/>
    </w:rPr>
  </w:style>
  <w:style w:type="paragraph" w:styleId="CommentText">
    <w:name w:val="annotation text"/>
    <w:basedOn w:val="Normal"/>
    <w:link w:val="CommentTextChar"/>
    <w:uiPriority w:val="99"/>
    <w:unhideWhenUsed/>
    <w:rsid w:val="008519B6"/>
    <w:pPr>
      <w:spacing w:line="240" w:lineRule="auto"/>
    </w:pPr>
    <w:rPr>
      <w:sz w:val="20"/>
      <w:szCs w:val="20"/>
    </w:rPr>
  </w:style>
  <w:style w:type="character" w:customStyle="1" w:styleId="CommentTextChar">
    <w:name w:val="Comment Text Char"/>
    <w:basedOn w:val="DefaultParagraphFont"/>
    <w:link w:val="CommentText"/>
    <w:uiPriority w:val="99"/>
    <w:rsid w:val="008519B6"/>
    <w:rPr>
      <w:sz w:val="20"/>
      <w:szCs w:val="20"/>
    </w:rPr>
  </w:style>
  <w:style w:type="paragraph" w:styleId="CommentSubject">
    <w:name w:val="annotation subject"/>
    <w:basedOn w:val="CommentText"/>
    <w:next w:val="CommentText"/>
    <w:link w:val="CommentSubjectChar"/>
    <w:uiPriority w:val="99"/>
    <w:semiHidden/>
    <w:unhideWhenUsed/>
    <w:rsid w:val="008519B6"/>
    <w:rPr>
      <w:b/>
      <w:bCs/>
    </w:rPr>
  </w:style>
  <w:style w:type="character" w:customStyle="1" w:styleId="CommentSubjectChar">
    <w:name w:val="Comment Subject Char"/>
    <w:basedOn w:val="CommentTextChar"/>
    <w:link w:val="CommentSubject"/>
    <w:uiPriority w:val="99"/>
    <w:semiHidden/>
    <w:rsid w:val="008519B6"/>
    <w:rPr>
      <w:b/>
      <w:bCs/>
      <w:sz w:val="20"/>
      <w:szCs w:val="20"/>
    </w:rPr>
  </w:style>
  <w:style w:type="character" w:styleId="Hyperlink">
    <w:name w:val="Hyperlink"/>
    <w:basedOn w:val="DefaultParagraphFont"/>
    <w:uiPriority w:val="99"/>
    <w:unhideWhenUsed/>
    <w:rsid w:val="008519B6"/>
    <w:rPr>
      <w:color w:val="467886" w:themeColor="hyperlink"/>
      <w:u w:val="single"/>
    </w:rPr>
  </w:style>
  <w:style w:type="character" w:styleId="UnresolvedMention">
    <w:name w:val="Unresolved Mention"/>
    <w:basedOn w:val="DefaultParagraphFont"/>
    <w:uiPriority w:val="99"/>
    <w:semiHidden/>
    <w:unhideWhenUsed/>
    <w:rsid w:val="008519B6"/>
    <w:rPr>
      <w:color w:val="605E5C"/>
      <w:shd w:val="clear" w:color="auto" w:fill="E1DFDD"/>
    </w:rPr>
  </w:style>
  <w:style w:type="paragraph" w:styleId="TOC1">
    <w:name w:val="toc 1"/>
    <w:basedOn w:val="Normal"/>
    <w:next w:val="Normal"/>
    <w:autoRedefine/>
    <w:uiPriority w:val="39"/>
    <w:unhideWhenUsed/>
    <w:rsid w:val="008519B6"/>
    <w:pPr>
      <w:spacing w:after="100"/>
    </w:pPr>
  </w:style>
  <w:style w:type="paragraph" w:styleId="Header">
    <w:name w:val="header"/>
    <w:basedOn w:val="Normal"/>
    <w:link w:val="HeaderChar"/>
    <w:unhideWhenUsed/>
    <w:rsid w:val="008519B6"/>
    <w:pPr>
      <w:tabs>
        <w:tab w:val="center" w:pos="4513"/>
        <w:tab w:val="right" w:pos="9026"/>
      </w:tabs>
      <w:spacing w:after="0" w:line="240" w:lineRule="auto"/>
    </w:pPr>
  </w:style>
  <w:style w:type="character" w:customStyle="1" w:styleId="HeaderChar">
    <w:name w:val="Header Char"/>
    <w:basedOn w:val="DefaultParagraphFont"/>
    <w:link w:val="Header"/>
    <w:rsid w:val="008519B6"/>
  </w:style>
  <w:style w:type="paragraph" w:styleId="Footer">
    <w:name w:val="footer"/>
    <w:basedOn w:val="Normal"/>
    <w:link w:val="FooterChar"/>
    <w:uiPriority w:val="99"/>
    <w:unhideWhenUsed/>
    <w:rsid w:val="00851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9B6"/>
  </w:style>
  <w:style w:type="table" w:styleId="TableGrid">
    <w:name w:val="Table Grid"/>
    <w:basedOn w:val="TableNormal"/>
    <w:uiPriority w:val="39"/>
    <w:rsid w:val="0085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19B6"/>
    <w:pPr>
      <w:spacing w:after="0" w:line="240" w:lineRule="auto"/>
    </w:pPr>
  </w:style>
  <w:style w:type="paragraph" w:styleId="NoSpacing">
    <w:name w:val="No Spacing"/>
    <w:link w:val="NoSpacingChar"/>
    <w:uiPriority w:val="1"/>
    <w:qFormat/>
    <w:rsid w:val="008519B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519B6"/>
    <w:rPr>
      <w:kern w:val="0"/>
      <w:sz w:val="22"/>
      <w:szCs w:val="22"/>
      <w14:ligatures w14:val="none"/>
    </w:rPr>
  </w:style>
  <w:style w:type="paragraph" w:styleId="NormalWeb">
    <w:name w:val="Normal (Web)"/>
    <w:basedOn w:val="Normal"/>
    <w:uiPriority w:val="99"/>
    <w:unhideWhenUsed/>
    <w:rsid w:val="008519B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519B6"/>
    <w:rPr>
      <w:b/>
      <w:bCs/>
    </w:rPr>
  </w:style>
  <w:style w:type="character" w:styleId="Emphasis">
    <w:name w:val="Emphasis"/>
    <w:basedOn w:val="DefaultParagraphFont"/>
    <w:uiPriority w:val="20"/>
    <w:qFormat/>
    <w:rsid w:val="00A3139D"/>
    <w:rPr>
      <w:i/>
      <w:iCs/>
    </w:rPr>
  </w:style>
  <w:style w:type="character" w:customStyle="1" w:styleId="ListParagraphChar">
    <w:name w:val="List Paragraph Char"/>
    <w:aliases w:val="List Paragraph 1 Char,List Paragraph1 Char,Normal + indent Char,Dot pt Char,No Spacing1 Char,List Paragraph Char Char Char Char,Indicator Text Char,Numbered Para 1 Char,Bullet 1 Char,F5 List Paragraph Char,Bullet Points Char,L Char"/>
    <w:basedOn w:val="DefaultParagraphFont"/>
    <w:link w:val="ListParagraph"/>
    <w:uiPriority w:val="34"/>
    <w:locked/>
    <w:rsid w:val="005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33116">
      <w:bodyDiv w:val="1"/>
      <w:marLeft w:val="0"/>
      <w:marRight w:val="0"/>
      <w:marTop w:val="0"/>
      <w:marBottom w:val="0"/>
      <w:divBdr>
        <w:top w:val="none" w:sz="0" w:space="0" w:color="auto"/>
        <w:left w:val="none" w:sz="0" w:space="0" w:color="auto"/>
        <w:bottom w:val="none" w:sz="0" w:space="0" w:color="auto"/>
        <w:right w:val="none" w:sz="0" w:space="0" w:color="auto"/>
      </w:divBdr>
    </w:div>
    <w:div w:id="73626825">
      <w:bodyDiv w:val="1"/>
      <w:marLeft w:val="0"/>
      <w:marRight w:val="0"/>
      <w:marTop w:val="0"/>
      <w:marBottom w:val="0"/>
      <w:divBdr>
        <w:top w:val="none" w:sz="0" w:space="0" w:color="auto"/>
        <w:left w:val="none" w:sz="0" w:space="0" w:color="auto"/>
        <w:bottom w:val="none" w:sz="0" w:space="0" w:color="auto"/>
        <w:right w:val="none" w:sz="0" w:space="0" w:color="auto"/>
      </w:divBdr>
    </w:div>
    <w:div w:id="601569461">
      <w:bodyDiv w:val="1"/>
      <w:marLeft w:val="0"/>
      <w:marRight w:val="0"/>
      <w:marTop w:val="0"/>
      <w:marBottom w:val="0"/>
      <w:divBdr>
        <w:top w:val="none" w:sz="0" w:space="0" w:color="auto"/>
        <w:left w:val="none" w:sz="0" w:space="0" w:color="auto"/>
        <w:bottom w:val="none" w:sz="0" w:space="0" w:color="auto"/>
        <w:right w:val="none" w:sz="0" w:space="0" w:color="auto"/>
      </w:divBdr>
    </w:div>
    <w:div w:id="619192686">
      <w:bodyDiv w:val="1"/>
      <w:marLeft w:val="0"/>
      <w:marRight w:val="0"/>
      <w:marTop w:val="0"/>
      <w:marBottom w:val="0"/>
      <w:divBdr>
        <w:top w:val="none" w:sz="0" w:space="0" w:color="auto"/>
        <w:left w:val="none" w:sz="0" w:space="0" w:color="auto"/>
        <w:bottom w:val="none" w:sz="0" w:space="0" w:color="auto"/>
        <w:right w:val="none" w:sz="0" w:space="0" w:color="auto"/>
      </w:divBdr>
    </w:div>
    <w:div w:id="619842151">
      <w:bodyDiv w:val="1"/>
      <w:marLeft w:val="0"/>
      <w:marRight w:val="0"/>
      <w:marTop w:val="0"/>
      <w:marBottom w:val="0"/>
      <w:divBdr>
        <w:top w:val="none" w:sz="0" w:space="0" w:color="auto"/>
        <w:left w:val="none" w:sz="0" w:space="0" w:color="auto"/>
        <w:bottom w:val="none" w:sz="0" w:space="0" w:color="auto"/>
        <w:right w:val="none" w:sz="0" w:space="0" w:color="auto"/>
      </w:divBdr>
    </w:div>
    <w:div w:id="715616788">
      <w:bodyDiv w:val="1"/>
      <w:marLeft w:val="0"/>
      <w:marRight w:val="0"/>
      <w:marTop w:val="0"/>
      <w:marBottom w:val="0"/>
      <w:divBdr>
        <w:top w:val="none" w:sz="0" w:space="0" w:color="auto"/>
        <w:left w:val="none" w:sz="0" w:space="0" w:color="auto"/>
        <w:bottom w:val="none" w:sz="0" w:space="0" w:color="auto"/>
        <w:right w:val="none" w:sz="0" w:space="0" w:color="auto"/>
      </w:divBdr>
    </w:div>
    <w:div w:id="794296924">
      <w:bodyDiv w:val="1"/>
      <w:marLeft w:val="0"/>
      <w:marRight w:val="0"/>
      <w:marTop w:val="0"/>
      <w:marBottom w:val="0"/>
      <w:divBdr>
        <w:top w:val="none" w:sz="0" w:space="0" w:color="auto"/>
        <w:left w:val="none" w:sz="0" w:space="0" w:color="auto"/>
        <w:bottom w:val="none" w:sz="0" w:space="0" w:color="auto"/>
        <w:right w:val="none" w:sz="0" w:space="0" w:color="auto"/>
      </w:divBdr>
    </w:div>
    <w:div w:id="796990613">
      <w:bodyDiv w:val="1"/>
      <w:marLeft w:val="0"/>
      <w:marRight w:val="0"/>
      <w:marTop w:val="0"/>
      <w:marBottom w:val="0"/>
      <w:divBdr>
        <w:top w:val="none" w:sz="0" w:space="0" w:color="auto"/>
        <w:left w:val="none" w:sz="0" w:space="0" w:color="auto"/>
        <w:bottom w:val="none" w:sz="0" w:space="0" w:color="auto"/>
        <w:right w:val="none" w:sz="0" w:space="0" w:color="auto"/>
      </w:divBdr>
    </w:div>
    <w:div w:id="912349292">
      <w:bodyDiv w:val="1"/>
      <w:marLeft w:val="0"/>
      <w:marRight w:val="0"/>
      <w:marTop w:val="0"/>
      <w:marBottom w:val="0"/>
      <w:divBdr>
        <w:top w:val="none" w:sz="0" w:space="0" w:color="auto"/>
        <w:left w:val="none" w:sz="0" w:space="0" w:color="auto"/>
        <w:bottom w:val="none" w:sz="0" w:space="0" w:color="auto"/>
        <w:right w:val="none" w:sz="0" w:space="0" w:color="auto"/>
      </w:divBdr>
    </w:div>
    <w:div w:id="1052509477">
      <w:bodyDiv w:val="1"/>
      <w:marLeft w:val="0"/>
      <w:marRight w:val="0"/>
      <w:marTop w:val="0"/>
      <w:marBottom w:val="0"/>
      <w:divBdr>
        <w:top w:val="none" w:sz="0" w:space="0" w:color="auto"/>
        <w:left w:val="none" w:sz="0" w:space="0" w:color="auto"/>
        <w:bottom w:val="none" w:sz="0" w:space="0" w:color="auto"/>
        <w:right w:val="none" w:sz="0" w:space="0" w:color="auto"/>
      </w:divBdr>
    </w:div>
    <w:div w:id="1131560571">
      <w:bodyDiv w:val="1"/>
      <w:marLeft w:val="0"/>
      <w:marRight w:val="0"/>
      <w:marTop w:val="0"/>
      <w:marBottom w:val="0"/>
      <w:divBdr>
        <w:top w:val="none" w:sz="0" w:space="0" w:color="auto"/>
        <w:left w:val="none" w:sz="0" w:space="0" w:color="auto"/>
        <w:bottom w:val="none" w:sz="0" w:space="0" w:color="auto"/>
        <w:right w:val="none" w:sz="0" w:space="0" w:color="auto"/>
      </w:divBdr>
    </w:div>
    <w:div w:id="1353070394">
      <w:bodyDiv w:val="1"/>
      <w:marLeft w:val="0"/>
      <w:marRight w:val="0"/>
      <w:marTop w:val="0"/>
      <w:marBottom w:val="0"/>
      <w:divBdr>
        <w:top w:val="none" w:sz="0" w:space="0" w:color="auto"/>
        <w:left w:val="none" w:sz="0" w:space="0" w:color="auto"/>
        <w:bottom w:val="none" w:sz="0" w:space="0" w:color="auto"/>
        <w:right w:val="none" w:sz="0" w:space="0" w:color="auto"/>
      </w:divBdr>
    </w:div>
    <w:div w:id="1362315925">
      <w:bodyDiv w:val="1"/>
      <w:marLeft w:val="0"/>
      <w:marRight w:val="0"/>
      <w:marTop w:val="0"/>
      <w:marBottom w:val="0"/>
      <w:divBdr>
        <w:top w:val="none" w:sz="0" w:space="0" w:color="auto"/>
        <w:left w:val="none" w:sz="0" w:space="0" w:color="auto"/>
        <w:bottom w:val="none" w:sz="0" w:space="0" w:color="auto"/>
        <w:right w:val="none" w:sz="0" w:space="0" w:color="auto"/>
      </w:divBdr>
    </w:div>
    <w:div w:id="1654026521">
      <w:bodyDiv w:val="1"/>
      <w:marLeft w:val="0"/>
      <w:marRight w:val="0"/>
      <w:marTop w:val="0"/>
      <w:marBottom w:val="0"/>
      <w:divBdr>
        <w:top w:val="none" w:sz="0" w:space="0" w:color="auto"/>
        <w:left w:val="none" w:sz="0" w:space="0" w:color="auto"/>
        <w:bottom w:val="none" w:sz="0" w:space="0" w:color="auto"/>
        <w:right w:val="none" w:sz="0" w:space="0" w:color="auto"/>
      </w:divBdr>
    </w:div>
    <w:div w:id="1684165366">
      <w:bodyDiv w:val="1"/>
      <w:marLeft w:val="0"/>
      <w:marRight w:val="0"/>
      <w:marTop w:val="0"/>
      <w:marBottom w:val="0"/>
      <w:divBdr>
        <w:top w:val="none" w:sz="0" w:space="0" w:color="auto"/>
        <w:left w:val="none" w:sz="0" w:space="0" w:color="auto"/>
        <w:bottom w:val="none" w:sz="0" w:space="0" w:color="auto"/>
        <w:right w:val="none" w:sz="0" w:space="0" w:color="auto"/>
      </w:divBdr>
    </w:div>
    <w:div w:id="1764951287">
      <w:bodyDiv w:val="1"/>
      <w:marLeft w:val="0"/>
      <w:marRight w:val="0"/>
      <w:marTop w:val="0"/>
      <w:marBottom w:val="0"/>
      <w:divBdr>
        <w:top w:val="none" w:sz="0" w:space="0" w:color="auto"/>
        <w:left w:val="none" w:sz="0" w:space="0" w:color="auto"/>
        <w:bottom w:val="none" w:sz="0" w:space="0" w:color="auto"/>
        <w:right w:val="none" w:sz="0" w:space="0" w:color="auto"/>
      </w:divBdr>
    </w:div>
    <w:div w:id="1769619670">
      <w:bodyDiv w:val="1"/>
      <w:marLeft w:val="0"/>
      <w:marRight w:val="0"/>
      <w:marTop w:val="0"/>
      <w:marBottom w:val="0"/>
      <w:divBdr>
        <w:top w:val="none" w:sz="0" w:space="0" w:color="auto"/>
        <w:left w:val="none" w:sz="0" w:space="0" w:color="auto"/>
        <w:bottom w:val="none" w:sz="0" w:space="0" w:color="auto"/>
        <w:right w:val="none" w:sz="0" w:space="0" w:color="auto"/>
      </w:divBdr>
    </w:div>
    <w:div w:id="1874685693">
      <w:bodyDiv w:val="1"/>
      <w:marLeft w:val="0"/>
      <w:marRight w:val="0"/>
      <w:marTop w:val="0"/>
      <w:marBottom w:val="0"/>
      <w:divBdr>
        <w:top w:val="none" w:sz="0" w:space="0" w:color="auto"/>
        <w:left w:val="none" w:sz="0" w:space="0" w:color="auto"/>
        <w:bottom w:val="none" w:sz="0" w:space="0" w:color="auto"/>
        <w:right w:val="none" w:sz="0" w:space="0" w:color="auto"/>
      </w:divBdr>
    </w:div>
    <w:div w:id="1919711067">
      <w:bodyDiv w:val="1"/>
      <w:marLeft w:val="0"/>
      <w:marRight w:val="0"/>
      <w:marTop w:val="0"/>
      <w:marBottom w:val="0"/>
      <w:divBdr>
        <w:top w:val="none" w:sz="0" w:space="0" w:color="auto"/>
        <w:left w:val="none" w:sz="0" w:space="0" w:color="auto"/>
        <w:bottom w:val="none" w:sz="0" w:space="0" w:color="auto"/>
        <w:right w:val="none" w:sz="0" w:space="0" w:color="auto"/>
      </w:divBdr>
    </w:div>
    <w:div w:id="1961572019">
      <w:bodyDiv w:val="1"/>
      <w:marLeft w:val="0"/>
      <w:marRight w:val="0"/>
      <w:marTop w:val="0"/>
      <w:marBottom w:val="0"/>
      <w:divBdr>
        <w:top w:val="none" w:sz="0" w:space="0" w:color="auto"/>
        <w:left w:val="none" w:sz="0" w:space="0" w:color="auto"/>
        <w:bottom w:val="none" w:sz="0" w:space="0" w:color="auto"/>
        <w:right w:val="none" w:sz="0" w:space="0" w:color="auto"/>
      </w:divBdr>
    </w:div>
    <w:div w:id="209080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 Long term condition</a:t>
            </a:r>
            <a:r>
              <a:rPr lang="en-GB" sz="1200" baseline="0"/>
              <a:t> / Illness - Representation</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stacked"/>
        <c:varyColors val="0"/>
        <c:ser>
          <c:idx val="0"/>
          <c:order val="0"/>
          <c:tx>
            <c:strRef>
              <c:f>'Metric 1'!$M$6</c:f>
              <c:strCache>
                <c:ptCount val="1"/>
                <c:pt idx="0">
                  <c:v>Non-disabled</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1'!$L$7:$L$11</c:f>
              <c:strCache>
                <c:ptCount val="5"/>
                <c:pt idx="0">
                  <c:v>SWB (2021)</c:v>
                </c:pt>
                <c:pt idx="1">
                  <c:v>SWB (2022)</c:v>
                </c:pt>
                <c:pt idx="2">
                  <c:v>SWB (2023)</c:v>
                </c:pt>
                <c:pt idx="3">
                  <c:v>SWB (2024)</c:v>
                </c:pt>
                <c:pt idx="4">
                  <c:v>SWB (2025)</c:v>
                </c:pt>
              </c:strCache>
            </c:strRef>
          </c:cat>
          <c:val>
            <c:numRef>
              <c:f>'Metric 1'!$M$7:$M$11</c:f>
              <c:numCache>
                <c:formatCode>0%</c:formatCode>
                <c:ptCount val="5"/>
                <c:pt idx="0">
                  <c:v>0.78500000000000003</c:v>
                </c:pt>
                <c:pt idx="1">
                  <c:v>0.73899999999999999</c:v>
                </c:pt>
                <c:pt idx="2">
                  <c:v>0.73740000000000006</c:v>
                </c:pt>
                <c:pt idx="3">
                  <c:v>0.75600000000000001</c:v>
                </c:pt>
                <c:pt idx="4">
                  <c:v>0.77170000000000005</c:v>
                </c:pt>
              </c:numCache>
            </c:numRef>
          </c:val>
          <c:extLst>
            <c:ext xmlns:c16="http://schemas.microsoft.com/office/drawing/2014/chart" uri="{C3380CC4-5D6E-409C-BE32-E72D297353CC}">
              <c16:uniqueId val="{00000000-BB7C-4846-84D3-147B6C84EAD3}"/>
            </c:ext>
          </c:extLst>
        </c:ser>
        <c:ser>
          <c:idx val="1"/>
          <c:order val="1"/>
          <c:tx>
            <c:strRef>
              <c:f>'Metric 1'!$N$6</c:f>
              <c:strCache>
                <c:ptCount val="1"/>
                <c:pt idx="0">
                  <c:v>Disabled 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1'!$L$7:$L$11</c:f>
              <c:strCache>
                <c:ptCount val="5"/>
                <c:pt idx="0">
                  <c:v>SWB (2021)</c:v>
                </c:pt>
                <c:pt idx="1">
                  <c:v>SWB (2022)</c:v>
                </c:pt>
                <c:pt idx="2">
                  <c:v>SWB (2023)</c:v>
                </c:pt>
                <c:pt idx="3">
                  <c:v>SWB (2024)</c:v>
                </c:pt>
                <c:pt idx="4">
                  <c:v>SWB (2025)</c:v>
                </c:pt>
              </c:strCache>
            </c:strRef>
          </c:cat>
          <c:val>
            <c:numRef>
              <c:f>'Metric 1'!$N$7:$N$11</c:f>
              <c:numCache>
                <c:formatCode>0%</c:formatCode>
                <c:ptCount val="5"/>
                <c:pt idx="0">
                  <c:v>2.8000000000000001E-2</c:v>
                </c:pt>
                <c:pt idx="1">
                  <c:v>3.1E-2</c:v>
                </c:pt>
                <c:pt idx="2">
                  <c:v>3.5200000000000002E-2</c:v>
                </c:pt>
                <c:pt idx="3">
                  <c:v>0.04</c:v>
                </c:pt>
                <c:pt idx="4">
                  <c:v>4.7699999999999999E-2</c:v>
                </c:pt>
              </c:numCache>
            </c:numRef>
          </c:val>
          <c:extLst>
            <c:ext xmlns:c16="http://schemas.microsoft.com/office/drawing/2014/chart" uri="{C3380CC4-5D6E-409C-BE32-E72D297353CC}">
              <c16:uniqueId val="{00000001-BB7C-4846-84D3-147B6C84EAD3}"/>
            </c:ext>
          </c:extLst>
        </c:ser>
        <c:ser>
          <c:idx val="2"/>
          <c:order val="2"/>
          <c:tx>
            <c:strRef>
              <c:f>'Metric 1'!$O$6</c:f>
              <c:strCache>
                <c:ptCount val="1"/>
                <c:pt idx="0">
                  <c:v>Disability Not Stated / 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1'!$L$7:$L$11</c:f>
              <c:strCache>
                <c:ptCount val="5"/>
                <c:pt idx="0">
                  <c:v>SWB (2021)</c:v>
                </c:pt>
                <c:pt idx="1">
                  <c:v>SWB (2022)</c:v>
                </c:pt>
                <c:pt idx="2">
                  <c:v>SWB (2023)</c:v>
                </c:pt>
                <c:pt idx="3">
                  <c:v>SWB (2024)</c:v>
                </c:pt>
                <c:pt idx="4">
                  <c:v>SWB (2025)</c:v>
                </c:pt>
              </c:strCache>
            </c:strRef>
          </c:cat>
          <c:val>
            <c:numRef>
              <c:f>'Metric 1'!$O$7:$O$11</c:f>
              <c:numCache>
                <c:formatCode>0%</c:formatCode>
                <c:ptCount val="5"/>
                <c:pt idx="0">
                  <c:v>0.186</c:v>
                </c:pt>
                <c:pt idx="1">
                  <c:v>0.23</c:v>
                </c:pt>
                <c:pt idx="2">
                  <c:v>0.22739999999999999</c:v>
                </c:pt>
                <c:pt idx="3">
                  <c:v>0.20399999999999999</c:v>
                </c:pt>
                <c:pt idx="4">
                  <c:v>0.18049999999999999</c:v>
                </c:pt>
              </c:numCache>
            </c:numRef>
          </c:val>
          <c:extLst>
            <c:ext xmlns:c16="http://schemas.microsoft.com/office/drawing/2014/chart" uri="{C3380CC4-5D6E-409C-BE32-E72D297353CC}">
              <c16:uniqueId val="{00000002-BB7C-4846-84D3-147B6C84EAD3}"/>
            </c:ext>
          </c:extLst>
        </c:ser>
        <c:dLbls>
          <c:showLegendKey val="0"/>
          <c:showVal val="0"/>
          <c:showCatName val="0"/>
          <c:showSerName val="0"/>
          <c:showPercent val="0"/>
          <c:showBubbleSize val="0"/>
        </c:dLbls>
        <c:gapWidth val="50"/>
        <c:overlap val="100"/>
        <c:axId val="1413070847"/>
        <c:axId val="1413068927"/>
      </c:barChart>
      <c:catAx>
        <c:axId val="1413070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68927"/>
        <c:crosses val="autoZero"/>
        <c:auto val="1"/>
        <c:lblAlgn val="ctr"/>
        <c:lblOffset val="100"/>
        <c:noMultiLvlLbl val="0"/>
      </c:catAx>
      <c:valAx>
        <c:axId val="1413068927"/>
        <c:scaling>
          <c:orientation val="minMax"/>
          <c:max val="1"/>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70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 Representation</a:t>
            </a:r>
            <a:r>
              <a:rPr lang="en-GB" baseline="0"/>
              <a:t> - by Pay Grade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stacked"/>
        <c:varyColors val="0"/>
        <c:ser>
          <c:idx val="0"/>
          <c:order val="0"/>
          <c:tx>
            <c:strRef>
              <c:f>'Metric 1'!$M$27</c:f>
              <c:strCache>
                <c:ptCount val="1"/>
                <c:pt idx="0">
                  <c:v>Disabled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1'!$L$28:$L$44</c:f>
              <c:strCache>
                <c:ptCount val="17"/>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 &amp; Dental Consultant</c:v>
                </c:pt>
                <c:pt idx="13">
                  <c:v>Medical &amp; Dental Non-Consultant Career Grade</c:v>
                </c:pt>
                <c:pt idx="14">
                  <c:v>Medical &amp; Dental Trainee Grades</c:v>
                </c:pt>
                <c:pt idx="15">
                  <c:v>OTHER</c:v>
                </c:pt>
                <c:pt idx="16">
                  <c:v>VSM</c:v>
                </c:pt>
              </c:strCache>
            </c:strRef>
          </c:cat>
          <c:val>
            <c:numRef>
              <c:f>'Metric 1'!$M$28:$M$44</c:f>
              <c:numCache>
                <c:formatCode>0%</c:formatCode>
                <c:ptCount val="17"/>
                <c:pt idx="0">
                  <c:v>0</c:v>
                </c:pt>
                <c:pt idx="1">
                  <c:v>5.8236272878535771E-2</c:v>
                </c:pt>
                <c:pt idx="2">
                  <c:v>4.7302291204730229E-2</c:v>
                </c:pt>
                <c:pt idx="3">
                  <c:v>5.5921052631578948E-2</c:v>
                </c:pt>
                <c:pt idx="4">
                  <c:v>5.0744248985115023E-2</c:v>
                </c:pt>
                <c:pt idx="5">
                  <c:v>4.6647230320699708E-2</c:v>
                </c:pt>
                <c:pt idx="6">
                  <c:v>5.9665871121718374E-2</c:v>
                </c:pt>
                <c:pt idx="7">
                  <c:v>6.354515050167224E-2</c:v>
                </c:pt>
                <c:pt idx="8">
                  <c:v>6.0606060606060608E-2</c:v>
                </c:pt>
                <c:pt idx="9">
                  <c:v>4.5454545454545456E-2</c:v>
                </c:pt>
                <c:pt idx="10">
                  <c:v>0.04</c:v>
                </c:pt>
                <c:pt idx="11">
                  <c:v>0</c:v>
                </c:pt>
                <c:pt idx="12">
                  <c:v>1.8867924528301886E-2</c:v>
                </c:pt>
                <c:pt idx="13">
                  <c:v>0</c:v>
                </c:pt>
                <c:pt idx="14">
                  <c:v>1.338432122370937E-2</c:v>
                </c:pt>
                <c:pt idx="15">
                  <c:v>3.2258064516129031E-2</c:v>
                </c:pt>
                <c:pt idx="16">
                  <c:v>0</c:v>
                </c:pt>
              </c:numCache>
            </c:numRef>
          </c:val>
          <c:extLst>
            <c:ext xmlns:c16="http://schemas.microsoft.com/office/drawing/2014/chart" uri="{C3380CC4-5D6E-409C-BE32-E72D297353CC}">
              <c16:uniqueId val="{00000000-D7A1-4B31-AEE1-B5A7E5D40C8F}"/>
            </c:ext>
          </c:extLst>
        </c:ser>
        <c:ser>
          <c:idx val="1"/>
          <c:order val="1"/>
          <c:tx>
            <c:strRef>
              <c:f>'Metric 1'!$N$27</c:f>
              <c:strCache>
                <c:ptCount val="1"/>
                <c:pt idx="0">
                  <c:v>Not Disabled</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1'!$L$28:$L$44</c:f>
              <c:strCache>
                <c:ptCount val="17"/>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 &amp; Dental Consultant</c:v>
                </c:pt>
                <c:pt idx="13">
                  <c:v>Medical &amp; Dental Non-Consultant Career Grade</c:v>
                </c:pt>
                <c:pt idx="14">
                  <c:v>Medical &amp; Dental Trainee Grades</c:v>
                </c:pt>
                <c:pt idx="15">
                  <c:v>OTHER</c:v>
                </c:pt>
                <c:pt idx="16">
                  <c:v>VSM</c:v>
                </c:pt>
              </c:strCache>
            </c:strRef>
          </c:cat>
          <c:val>
            <c:numRef>
              <c:f>'Metric 1'!$N$28:$N$44</c:f>
              <c:numCache>
                <c:formatCode>0%</c:formatCode>
                <c:ptCount val="17"/>
                <c:pt idx="0">
                  <c:v>0</c:v>
                </c:pt>
                <c:pt idx="1">
                  <c:v>0.76039933444259566</c:v>
                </c:pt>
                <c:pt idx="2">
                  <c:v>0.81226903178122689</c:v>
                </c:pt>
                <c:pt idx="3">
                  <c:v>0.80756578947368418</c:v>
                </c:pt>
                <c:pt idx="4">
                  <c:v>0.7138024357239513</c:v>
                </c:pt>
                <c:pt idx="5">
                  <c:v>0.85204081632653061</c:v>
                </c:pt>
                <c:pt idx="6">
                  <c:v>0.86038186157517904</c:v>
                </c:pt>
                <c:pt idx="7">
                  <c:v>0.8294314381270903</c:v>
                </c:pt>
                <c:pt idx="8">
                  <c:v>0.79797979797979801</c:v>
                </c:pt>
                <c:pt idx="9">
                  <c:v>0.86363636363636365</c:v>
                </c:pt>
                <c:pt idx="10">
                  <c:v>0.72</c:v>
                </c:pt>
                <c:pt idx="11">
                  <c:v>0.88888888888888884</c:v>
                </c:pt>
                <c:pt idx="12">
                  <c:v>0.82210242587601079</c:v>
                </c:pt>
                <c:pt idx="13">
                  <c:v>0.74117647058823533</c:v>
                </c:pt>
                <c:pt idx="14">
                  <c:v>0.40535372848948376</c:v>
                </c:pt>
                <c:pt idx="15">
                  <c:v>0.63440860215053763</c:v>
                </c:pt>
                <c:pt idx="16">
                  <c:v>1</c:v>
                </c:pt>
              </c:numCache>
            </c:numRef>
          </c:val>
          <c:extLst>
            <c:ext xmlns:c16="http://schemas.microsoft.com/office/drawing/2014/chart" uri="{C3380CC4-5D6E-409C-BE32-E72D297353CC}">
              <c16:uniqueId val="{00000001-D7A1-4B31-AEE1-B5A7E5D40C8F}"/>
            </c:ext>
          </c:extLst>
        </c:ser>
        <c:ser>
          <c:idx val="2"/>
          <c:order val="2"/>
          <c:tx>
            <c:strRef>
              <c:f>'Metric 1'!$O$27</c:f>
              <c:strCache>
                <c:ptCount val="1"/>
                <c:pt idx="0">
                  <c:v>Not Declared</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1'!$L$28:$L$44</c:f>
              <c:strCache>
                <c:ptCount val="17"/>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 &amp; Dental Consultant</c:v>
                </c:pt>
                <c:pt idx="13">
                  <c:v>Medical &amp; Dental Non-Consultant Career Grade</c:v>
                </c:pt>
                <c:pt idx="14">
                  <c:v>Medical &amp; Dental Trainee Grades</c:v>
                </c:pt>
                <c:pt idx="15">
                  <c:v>OTHER</c:v>
                </c:pt>
                <c:pt idx="16">
                  <c:v>VSM</c:v>
                </c:pt>
              </c:strCache>
            </c:strRef>
          </c:cat>
          <c:val>
            <c:numRef>
              <c:f>'Metric 1'!$O$28:$O$44</c:f>
              <c:numCache>
                <c:formatCode>0%</c:formatCode>
                <c:ptCount val="17"/>
                <c:pt idx="0">
                  <c:v>1</c:v>
                </c:pt>
                <c:pt idx="1">
                  <c:v>0.18136439267886856</c:v>
                </c:pt>
                <c:pt idx="2">
                  <c:v>0.14042867701404288</c:v>
                </c:pt>
                <c:pt idx="3">
                  <c:v>0.13651315789473684</c:v>
                </c:pt>
                <c:pt idx="4">
                  <c:v>0.23545331529093369</c:v>
                </c:pt>
                <c:pt idx="5">
                  <c:v>0.10131195335276968</c:v>
                </c:pt>
                <c:pt idx="6">
                  <c:v>7.995226730310262E-2</c:v>
                </c:pt>
                <c:pt idx="7">
                  <c:v>0.10702341137123746</c:v>
                </c:pt>
                <c:pt idx="8">
                  <c:v>0.14141414141414141</c:v>
                </c:pt>
                <c:pt idx="9">
                  <c:v>9.0909090909090912E-2</c:v>
                </c:pt>
                <c:pt idx="10">
                  <c:v>0.24</c:v>
                </c:pt>
                <c:pt idx="11">
                  <c:v>0.1111111111111111</c:v>
                </c:pt>
                <c:pt idx="12">
                  <c:v>0.15902964959568733</c:v>
                </c:pt>
                <c:pt idx="13">
                  <c:v>0.25882352941176473</c:v>
                </c:pt>
                <c:pt idx="14">
                  <c:v>0.58126195028680694</c:v>
                </c:pt>
                <c:pt idx="15">
                  <c:v>0.33333333333333331</c:v>
                </c:pt>
                <c:pt idx="16">
                  <c:v>0</c:v>
                </c:pt>
              </c:numCache>
            </c:numRef>
          </c:val>
          <c:extLst>
            <c:ext xmlns:c16="http://schemas.microsoft.com/office/drawing/2014/chart" uri="{C3380CC4-5D6E-409C-BE32-E72D297353CC}">
              <c16:uniqueId val="{00000002-D7A1-4B31-AEE1-B5A7E5D40C8F}"/>
            </c:ext>
          </c:extLst>
        </c:ser>
        <c:dLbls>
          <c:showLegendKey val="0"/>
          <c:showVal val="0"/>
          <c:showCatName val="0"/>
          <c:showSerName val="0"/>
          <c:showPercent val="0"/>
          <c:showBubbleSize val="0"/>
        </c:dLbls>
        <c:gapWidth val="25"/>
        <c:overlap val="100"/>
        <c:axId val="928715856"/>
        <c:axId val="928738896"/>
      </c:barChart>
      <c:catAx>
        <c:axId val="92871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738896"/>
        <c:crosses val="autoZero"/>
        <c:auto val="1"/>
        <c:lblAlgn val="ctr"/>
        <c:lblOffset val="100"/>
        <c:noMultiLvlLbl val="0"/>
      </c:catAx>
      <c:valAx>
        <c:axId val="92873889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71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Relative likelihood of non-disabled staff being appointed from shortlisting compared to Disabled staff</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'Metric 2'!$A$13</c:f>
              <c:strCache>
                <c:ptCount val="1"/>
                <c:pt idx="0">
                  <c:v>Relative likelihood of non-disabled staff being appointed from shortlisting compared to Disabled staff</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2'!$B$12:$G$12</c:f>
              <c:strCache>
                <c:ptCount val="6"/>
                <c:pt idx="0">
                  <c:v>SWBH 2020</c:v>
                </c:pt>
                <c:pt idx="1">
                  <c:v>SWBH 2021</c:v>
                </c:pt>
                <c:pt idx="2">
                  <c:v>SWBH 2022</c:v>
                </c:pt>
                <c:pt idx="3">
                  <c:v>SWBH 2023</c:v>
                </c:pt>
                <c:pt idx="4">
                  <c:v>SWBH 2024</c:v>
                </c:pt>
                <c:pt idx="5">
                  <c:v>SWBH 2025</c:v>
                </c:pt>
              </c:strCache>
            </c:strRef>
          </c:cat>
          <c:val>
            <c:numRef>
              <c:f>'Metric 2'!$B$13:$G$13</c:f>
              <c:numCache>
                <c:formatCode>General</c:formatCode>
                <c:ptCount val="6"/>
                <c:pt idx="0">
                  <c:v>1.38</c:v>
                </c:pt>
                <c:pt idx="1">
                  <c:v>1.7</c:v>
                </c:pt>
                <c:pt idx="2">
                  <c:v>0.75</c:v>
                </c:pt>
                <c:pt idx="3">
                  <c:v>1.1599999999999999</c:v>
                </c:pt>
                <c:pt idx="4">
                  <c:v>1.3</c:v>
                </c:pt>
                <c:pt idx="5">
                  <c:v>1.06</c:v>
                </c:pt>
              </c:numCache>
            </c:numRef>
          </c:val>
          <c:extLst>
            <c:ext xmlns:c16="http://schemas.microsoft.com/office/drawing/2014/chart" uri="{C3380CC4-5D6E-409C-BE32-E72D297353CC}">
              <c16:uniqueId val="{00000000-AE4A-425B-82D1-A446A0202543}"/>
            </c:ext>
          </c:extLst>
        </c:ser>
        <c:dLbls>
          <c:showLegendKey val="0"/>
          <c:showVal val="0"/>
          <c:showCatName val="0"/>
          <c:showSerName val="0"/>
          <c:showPercent val="0"/>
          <c:showBubbleSize val="0"/>
        </c:dLbls>
        <c:gapWidth val="219"/>
        <c:overlap val="-27"/>
        <c:axId val="1203557359"/>
        <c:axId val="1203560239"/>
      </c:barChart>
      <c:catAx>
        <c:axId val="120355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03560239"/>
        <c:crosses val="autoZero"/>
        <c:auto val="1"/>
        <c:lblAlgn val="ctr"/>
        <c:lblOffset val="100"/>
        <c:noMultiLvlLbl val="0"/>
      </c:catAx>
      <c:valAx>
        <c:axId val="1203560239"/>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557359"/>
        <c:crosses val="autoZero"/>
        <c:crossBetween val="between"/>
        <c:majorUnit val="0.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t>Indicator 3 -Relative likelihood of disabled staff entering the formal capability process compared to non-disabled staff</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'Metric 3'!$A$7</c:f>
              <c:strCache>
                <c:ptCount val="1"/>
                <c:pt idx="0">
                  <c:v>Relative Likelihood of entering process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'Metric 3'!$B$4:$E$4</c:f>
              <c:strCache>
                <c:ptCount val="4"/>
                <c:pt idx="0">
                  <c:v>Non-Disabled</c:v>
                </c:pt>
                <c:pt idx="1">
                  <c:v>Disabled</c:v>
                </c:pt>
                <c:pt idx="2">
                  <c:v>Unknown / Not stated</c:v>
                </c:pt>
                <c:pt idx="3">
                  <c:v>Grand Total</c:v>
                </c:pt>
              </c:strCache>
            </c:strRef>
          </c:cat>
          <c:val>
            <c:numRef>
              <c:f>'Metric 3'!$B$7:$E$7</c:f>
              <c:numCache>
                <c:formatCode>0.0%</c:formatCode>
                <c:ptCount val="4"/>
                <c:pt idx="0">
                  <c:v>7.6958596275203937E-4</c:v>
                </c:pt>
                <c:pt idx="1">
                  <c:v>2.4875621890547263E-3</c:v>
                </c:pt>
                <c:pt idx="2">
                  <c:v>0</c:v>
                </c:pt>
                <c:pt idx="3">
                  <c:v>7.1233527246824168E-4</c:v>
                </c:pt>
              </c:numCache>
            </c:numRef>
          </c:val>
          <c:extLst>
            <c:ext xmlns:c16="http://schemas.microsoft.com/office/drawing/2014/chart" uri="{C3380CC4-5D6E-409C-BE32-E72D297353CC}">
              <c16:uniqueId val="{00000000-4B9B-473A-B5E9-A20E604F0EE1}"/>
            </c:ext>
          </c:extLst>
        </c:ser>
        <c:dLbls>
          <c:showLegendKey val="0"/>
          <c:showVal val="0"/>
          <c:showCatName val="0"/>
          <c:showSerName val="0"/>
          <c:showPercent val="0"/>
          <c:showBubbleSize val="0"/>
        </c:dLbls>
        <c:gapWidth val="219"/>
        <c:overlap val="-27"/>
        <c:axId val="86698463"/>
        <c:axId val="86698943"/>
      </c:barChart>
      <c:catAx>
        <c:axId val="86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943"/>
        <c:crosses val="autoZero"/>
        <c:auto val="1"/>
        <c:lblAlgn val="ctr"/>
        <c:lblOffset val="100"/>
        <c:noMultiLvlLbl val="0"/>
      </c:catAx>
      <c:valAx>
        <c:axId val="866989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98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3926</Words>
  <Characters>21907</Characters>
  <Application>Microsoft Office Word</Application>
  <DocSecurity>8</DocSecurity>
  <Lines>906</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Disability Equality Standard 2025</dc:title>
  <dc:subject/>
  <dc:creator>RICHARDS, Sabrina (NHS BLACK COUNTRY ICB - D2P2L)</dc:creator>
  <cp:keywords/>
  <dc:description/>
  <cp:lastModifiedBy>MAHMOOD, Subtan (SANDWELL AND WEST BIRMINGHAM HOSPITALS NHS TRUST)</cp:lastModifiedBy>
  <cp:revision>5</cp:revision>
  <dcterms:created xsi:type="dcterms:W3CDTF">2025-10-28T11:51:00Z</dcterms:created>
  <dcterms:modified xsi:type="dcterms:W3CDTF">2025-10-29T10:31:00Z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0a0ce64d-3dcc-42ee-902c-80179da2ce0d</vt:lpwstr>
  </property>
  <property fmtid="{D5CDD505-2E9C-101B-9397-08002B2CF9AE}" pid="3" name="_MarkAsFinal">
    <vt:bool>true</vt:bool>
  </property>
</Properties>
</file>